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hAnsi="宋体" w:eastAsia="宋体"/>
          <w:color w:val="000000"/>
          <w:sz w:val="28"/>
          <w:szCs w:val="28"/>
          <w:highlight w:val="none"/>
          <w:lang w:eastAsia="zh-CN"/>
        </w:rPr>
      </w:pPr>
      <w:r/>
      <w:bookmarkStart w:id="0" w:name="_Hlk69393945"/>
      <w:r/>
      <w:bookmarkStart w:id="1" w:name="_Toc528771312"/>
      <w:r/>
      <w:bookmarkStart w:id="2" w:name="_Toc27744861"/>
      <w:r>
        <w:rPr>
          <w:rFonts w:hint="eastAsia" w:ascii="宋体" w:hAnsi="宋体"/>
          <w:color w:val="000000"/>
          <w:sz w:val="28"/>
          <w:szCs w:val="28"/>
          <w:highlight w:val="none"/>
          <w:lang w:eastAsia="zh-CN"/>
        </w:rPr>
        <w:t xml:space="preserve">JSZC-321012-SHBZ-C2025-0022</w:t>
      </w:r>
      <w:r/>
    </w:p>
    <w:p>
      <w:pPr>
        <w:ind w:right="84"/>
        <w:jc w:val="center"/>
        <w:rPr>
          <w:rFonts w:hint="eastAsia" w:ascii="宋体" w:hAnsi="宋体"/>
          <w:color w:val="000000"/>
          <w:sz w:val="40"/>
          <w:szCs w:val="36"/>
          <w:highlight w:val="none"/>
        </w:rPr>
      </w:pPr>
      <w:r>
        <w:rPr>
          <w:rFonts w:hint="eastAsia" w:ascii="宋体" w:hAnsi="宋体"/>
          <w:color w:val="000000"/>
          <w:sz w:val="40"/>
          <w:szCs w:val="36"/>
          <w:highlight w:val="none"/>
        </w:rPr>
      </w:r>
      <w:r/>
    </w:p>
    <w:p>
      <w:pPr>
        <w:ind w:right="84"/>
        <w:jc w:val="center"/>
        <w:rPr>
          <w:rFonts w:hint="eastAsia" w:ascii="宋体" w:hAnsi="宋体"/>
          <w:color w:val="000000"/>
          <w:sz w:val="40"/>
          <w:szCs w:val="36"/>
          <w:highlight w:val="none"/>
        </w:rPr>
      </w:pPr>
      <w:r>
        <w:rPr>
          <w:rFonts w:hint="eastAsia" w:ascii="宋体" w:hAnsi="宋体"/>
          <w:color w:val="000000"/>
          <w:sz w:val="40"/>
          <w:szCs w:val="36"/>
          <w:highlight w:val="none"/>
        </w:rPr>
      </w:r>
      <w:r/>
    </w:p>
    <w:p>
      <w:pPr>
        <w:ind w:right="84"/>
        <w:jc w:val="center"/>
        <w:rPr>
          <w:rFonts w:hint="eastAsia" w:ascii="宋体" w:hAnsi="宋体"/>
          <w:color w:val="000000"/>
          <w:sz w:val="40"/>
          <w:szCs w:val="36"/>
          <w:highlight w:val="none"/>
          <w:lang w:eastAsia="zh-CN"/>
        </w:rPr>
        <w:outlineLvl w:val="0"/>
      </w:pPr>
      <w:r/>
      <w:bookmarkStart w:id="3" w:name="_Toc23403"/>
      <w:r>
        <w:rPr>
          <w:rFonts w:hint="eastAsia" w:ascii="宋体" w:hAnsi="宋体"/>
          <w:color w:val="000000"/>
          <w:sz w:val="40"/>
          <w:szCs w:val="36"/>
          <w:highlight w:val="none"/>
          <w:lang w:eastAsia="zh-CN"/>
        </w:rPr>
        <w:t xml:space="preserve">扬州市江都区垃圾填埋场渗滤液处理站运营项目</w:t>
      </w:r>
      <w:r/>
    </w:p>
    <w:p>
      <w:pPr>
        <w:ind w:right="84"/>
        <w:jc w:val="center"/>
        <w:rPr>
          <w:rFonts w:hint="eastAsia" w:ascii="宋体" w:hAnsi="宋体"/>
          <w:color w:val="000000"/>
          <w:sz w:val="40"/>
          <w:szCs w:val="36"/>
          <w:highlight w:val="none"/>
        </w:rPr>
        <w:outlineLvl w:val="0"/>
      </w:pPr>
      <w:r>
        <w:rPr>
          <w:rFonts w:hint="eastAsia" w:ascii="宋体" w:hAnsi="宋体"/>
          <w:color w:val="000000"/>
          <w:sz w:val="40"/>
          <w:szCs w:val="36"/>
          <w:highlight w:val="none"/>
        </w:rPr>
        <w:t xml:space="preserve">竞争性磋商文件</w:t>
      </w:r>
      <w:bookmarkEnd w:id="3"/>
      <w:r>
        <w:rPr>
          <w:rFonts w:hint="eastAsia" w:ascii="宋体" w:hAnsi="宋体"/>
          <w:color w:val="000000"/>
          <w:sz w:val="40"/>
          <w:szCs w:val="36"/>
          <w:highlight w:val="none"/>
          <w:lang w:eastAsia="zh-CN"/>
        </w:rPr>
        <w:t xml:space="preserve">（</w:t>
      </w:r>
      <w:r>
        <w:rPr>
          <w:rFonts w:hint="eastAsia" w:ascii="宋体" w:hAnsi="宋体"/>
          <w:color w:val="000000"/>
          <w:sz w:val="40"/>
          <w:szCs w:val="36"/>
          <w:highlight w:val="none"/>
          <w:lang w:val="en-US" w:eastAsia="zh-CN"/>
        </w:rPr>
        <w:t xml:space="preserve">二次</w:t>
      </w:r>
      <w:r>
        <w:rPr>
          <w:rFonts w:hint="eastAsia" w:ascii="宋体" w:hAnsi="宋体"/>
          <w:color w:val="000000"/>
          <w:sz w:val="40"/>
          <w:szCs w:val="36"/>
          <w:highlight w:val="none"/>
          <w:lang w:eastAsia="zh-CN"/>
        </w:rPr>
        <w:t xml:space="preserve">）</w:t>
      </w:r>
      <w:r/>
    </w:p>
    <w:p>
      <w:pPr>
        <w:jc w:val="center"/>
        <w:rPr>
          <w:rFonts w:ascii="宋体" w:hAnsi="宋体"/>
          <w:color w:val="000000"/>
          <w:sz w:val="36"/>
          <w:szCs w:val="36"/>
          <w:highlight w:val="none"/>
        </w:rPr>
      </w:pPr>
      <w:r>
        <w:rPr>
          <w:rFonts w:ascii="宋体" w:hAnsi="宋体"/>
          <w:color w:val="000000"/>
          <w:sz w:val="36"/>
          <w:szCs w:val="36"/>
          <w:highlight w:val="none"/>
        </w:rPr>
      </w:r>
      <w:r/>
    </w:p>
    <w:p>
      <w:pPr>
        <w:jc w:val="center"/>
        <w:rPr>
          <w:rFonts w:ascii="宋体" w:hAnsi="宋体"/>
          <w:color w:val="000000"/>
          <w:sz w:val="36"/>
          <w:szCs w:val="36"/>
          <w:highlight w:val="none"/>
        </w:rPr>
      </w:pPr>
      <w:r>
        <w:rPr>
          <w:rFonts w:ascii="宋体" w:hAnsi="宋体"/>
          <w:color w:val="000000"/>
          <w:sz w:val="36"/>
          <w:szCs w:val="36"/>
          <w:highlight w:val="none"/>
        </w:rPr>
      </w:r>
      <w:r/>
    </w:p>
    <w:p>
      <w:pPr>
        <w:pStyle w:val="1030"/>
        <w:rPr>
          <w:rFonts w:ascii="宋体" w:hAnsi="宋体"/>
          <w:color w:val="000000"/>
          <w:sz w:val="36"/>
          <w:szCs w:val="36"/>
          <w:highlight w:val="none"/>
        </w:rPr>
      </w:pPr>
      <w:r>
        <w:rPr>
          <w:rFonts w:ascii="宋体" w:hAnsi="宋体"/>
          <w:color w:val="000000"/>
          <w:sz w:val="36"/>
          <w:szCs w:val="36"/>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ind w:right="934"/>
        <w:jc w:val="both"/>
        <w:rPr>
          <w:rFonts w:hint="eastAsia" w:ascii="宋体" w:hAnsi="宋体"/>
          <w:color w:val="000000"/>
          <w:sz w:val="32"/>
          <w:szCs w:val="36"/>
          <w:highlight w:val="none"/>
        </w:rPr>
      </w:pPr>
      <w:r>
        <w:rPr>
          <w:rFonts w:hint="eastAsia" w:ascii="宋体" w:hAnsi="宋体"/>
          <w:color w:val="000000"/>
          <w:sz w:val="32"/>
          <w:szCs w:val="36"/>
          <w:highlight w:val="none"/>
        </w:rPr>
      </w:r>
      <w:r/>
    </w:p>
    <w:p>
      <w:pPr>
        <w:ind w:right="934"/>
        <w:jc w:val="center"/>
        <w:rPr>
          <w:rFonts w:hint="eastAsia" w:ascii="宋体" w:hAnsi="宋体"/>
          <w:color w:val="000000"/>
          <w:sz w:val="32"/>
          <w:szCs w:val="36"/>
          <w:highlight w:val="none"/>
        </w:rPr>
      </w:pPr>
      <w:r>
        <w:rPr>
          <w:rFonts w:hint="eastAsia" w:ascii="宋体" w:hAnsi="宋体"/>
          <w:color w:val="000000"/>
          <w:sz w:val="32"/>
          <w:szCs w:val="36"/>
          <w:highlight w:val="none"/>
        </w:rPr>
        <mc:AlternateContent>
          <mc:Choice Requires="wpg">
            <w:drawing>
              <wp:inline xmlns:wp="http://schemas.openxmlformats.org/drawingml/2006/wordprocessingDrawing" distT="0" distB="0" distL="0" distR="0">
                <wp:extent cx="2065655" cy="2065655"/>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8"/>
                        <a:stretch/>
                      </pic:blipFill>
                      <pic:spPr bwMode="auto">
                        <a:xfrm>
                          <a:off x="0" y="0"/>
                          <a:ext cx="2065744" cy="2065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7pt;height:162.7pt;mso-wrap-distance-left:0.0pt;mso-wrap-distance-top:0.0pt;mso-wrap-distance-right:0.0pt;mso-wrap-distance-bottom:0.0pt;" stroked="f">
                <v:path textboxrect="0,0,0,0"/>
                <v:imagedata r:id="rId18" o:title=""/>
              </v:shape>
            </w:pict>
          </mc:Fallback>
        </mc:AlternateContent>
      </w:r>
      <w:r/>
    </w:p>
    <w:p>
      <w:pPr>
        <w:ind w:right="934"/>
        <w:jc w:val="both"/>
        <w:rPr>
          <w:rFonts w:hint="eastAsia" w:ascii="宋体" w:hAnsi="宋体"/>
          <w:color w:val="000000"/>
          <w:sz w:val="32"/>
          <w:szCs w:val="36"/>
          <w:highlight w:val="none"/>
        </w:rPr>
      </w:pPr>
      <w:r>
        <w:rPr>
          <w:rFonts w:hint="eastAsia" w:ascii="宋体" w:hAnsi="宋体"/>
          <w:color w:val="000000"/>
          <w:sz w:val="32"/>
          <w:szCs w:val="36"/>
          <w:highlight w:val="none"/>
        </w:rPr>
      </w:r>
      <w:r/>
    </w:p>
    <w:p>
      <w:pPr>
        <w:pStyle w:val="1030"/>
        <w:rPr>
          <w:rFonts w:hint="eastAsia" w:ascii="宋体" w:hAnsi="宋体"/>
          <w:color w:val="000000"/>
          <w:szCs w:val="36"/>
          <w:highlight w:val="none"/>
        </w:rPr>
      </w:pPr>
      <w:r>
        <w:rPr>
          <w:rFonts w:hint="eastAsia" w:ascii="宋体" w:hAnsi="宋体"/>
          <w:color w:val="000000"/>
          <w:szCs w:val="36"/>
          <w:highlight w:val="none"/>
        </w:rPr>
      </w:r>
      <w:r/>
    </w:p>
    <w:p>
      <w:pPr>
        <w:rPr>
          <w:rFonts w:hint="eastAsia" w:ascii="宋体" w:hAnsi="宋体"/>
          <w:color w:val="000000"/>
          <w:sz w:val="32"/>
          <w:szCs w:val="36"/>
          <w:highlight w:val="none"/>
        </w:rPr>
      </w:pPr>
      <w:r>
        <w:rPr>
          <w:rFonts w:hint="eastAsia" w:ascii="宋体" w:hAnsi="宋体"/>
          <w:color w:val="000000"/>
          <w:sz w:val="32"/>
          <w:szCs w:val="36"/>
          <w:highlight w:val="none"/>
        </w:rPr>
      </w:r>
      <w:r/>
    </w:p>
    <w:p>
      <w:pPr>
        <w:pStyle w:val="1030"/>
        <w:rPr>
          <w:rFonts w:hint="eastAsia"/>
          <w:color w:val="000000"/>
          <w:highlight w:val="none"/>
        </w:rPr>
      </w:pPr>
      <w:r>
        <w:rPr>
          <w:rFonts w:hint="eastAsia"/>
          <w:color w:val="000000"/>
          <w:highlight w:val="none"/>
        </w:rPr>
      </w:r>
      <w:r/>
    </w:p>
    <w:p>
      <w:pPr>
        <w:ind w:right="934"/>
        <w:jc w:val="both"/>
        <w:rPr>
          <w:rFonts w:hint="eastAsia" w:ascii="宋体" w:hAnsi="宋体"/>
          <w:color w:val="000000"/>
          <w:sz w:val="32"/>
          <w:szCs w:val="36"/>
          <w:highlight w:val="none"/>
        </w:rPr>
      </w:pPr>
      <w:r>
        <w:rPr>
          <w:rFonts w:hint="eastAsia" w:ascii="宋体" w:hAnsi="宋体"/>
          <w:color w:val="000000"/>
          <w:sz w:val="32"/>
          <w:szCs w:val="36"/>
          <w:highlight w:val="none"/>
        </w:rPr>
      </w:r>
      <w:r/>
    </w:p>
    <w:p>
      <w:pPr>
        <w:ind w:right="935" w:firstLine="1120"/>
        <w:jc w:val="both"/>
        <w:keepLines w:val="0"/>
        <w:keepNext w:val="0"/>
        <w:pageBreakBefore w:val="0"/>
        <w:widowControl w:val="off"/>
        <w:rPr>
          <w:rFonts w:hint="eastAsia" w:ascii="宋体" w:hAnsi="宋体" w:eastAsia="宋体"/>
          <w:b w:val="0"/>
          <w:bCs w:val="0"/>
          <w:color w:val="000000"/>
          <w:sz w:val="32"/>
          <w:szCs w:val="36"/>
          <w:highlight w:val="none"/>
          <w:lang w:eastAsia="zh-CN"/>
        </w:rPr>
      </w:pPr>
      <w:r>
        <w:rPr>
          <w:rFonts w:hint="eastAsia" w:ascii="宋体" w:hAnsi="宋体"/>
          <w:b w:val="0"/>
          <w:bCs w:val="0"/>
          <w:color w:val="000000"/>
          <w:sz w:val="32"/>
          <w:szCs w:val="36"/>
          <w:highlight w:val="none"/>
        </w:rPr>
        <w:t xml:space="preserve">采</w:t>
      </w:r>
      <w:r>
        <w:rPr>
          <w:rFonts w:hint="eastAsia" w:ascii="宋体" w:hAnsi="宋体"/>
          <w:b w:val="0"/>
          <w:bCs w:val="0"/>
          <w:color w:val="000000"/>
          <w:sz w:val="32"/>
          <w:szCs w:val="36"/>
          <w:highlight w:val="none"/>
          <w:lang w:val="en-US" w:eastAsia="zh-CN"/>
        </w:rPr>
        <w:t xml:space="preserve"> </w:t>
      </w:r>
      <w:r>
        <w:rPr>
          <w:rFonts w:hint="eastAsia" w:ascii="宋体" w:hAnsi="宋体"/>
          <w:b w:val="0"/>
          <w:bCs w:val="0"/>
          <w:color w:val="000000"/>
          <w:sz w:val="32"/>
          <w:szCs w:val="36"/>
          <w:highlight w:val="none"/>
        </w:rPr>
        <w:t xml:space="preserve">购</w:t>
      </w:r>
      <w:r>
        <w:rPr>
          <w:rFonts w:hint="eastAsia" w:ascii="宋体" w:hAnsi="宋体"/>
          <w:b w:val="0"/>
          <w:bCs w:val="0"/>
          <w:color w:val="000000"/>
          <w:sz w:val="32"/>
          <w:szCs w:val="36"/>
          <w:highlight w:val="none"/>
          <w:lang w:val="en-US" w:eastAsia="zh-CN"/>
        </w:rPr>
        <w:t xml:space="preserve"> </w:t>
      </w:r>
      <w:r>
        <w:rPr>
          <w:rFonts w:hint="eastAsia" w:ascii="宋体" w:hAnsi="宋体"/>
          <w:b w:val="0"/>
          <w:bCs w:val="0"/>
          <w:color w:val="000000"/>
          <w:sz w:val="32"/>
          <w:szCs w:val="36"/>
          <w:highlight w:val="none"/>
        </w:rPr>
        <w:t xml:space="preserve">人：</w:t>
      </w:r>
      <w:r>
        <w:rPr>
          <w:rFonts w:hint="eastAsia" w:ascii="宋体" w:hAnsi="宋体"/>
          <w:b w:val="0"/>
          <w:bCs w:val="0"/>
          <w:color w:val="000000"/>
          <w:sz w:val="32"/>
          <w:szCs w:val="36"/>
          <w:highlight w:val="none"/>
          <w:lang w:eastAsia="zh-CN"/>
        </w:rPr>
        <w:t xml:space="preserve">扬州市江都区环境卫生管理处</w:t>
      </w:r>
      <w:r/>
    </w:p>
    <w:p>
      <w:pPr>
        <w:ind w:right="934"/>
        <w:jc w:val="center"/>
        <w:rPr>
          <w:rFonts w:hint="eastAsia" w:ascii="宋体" w:hAnsi="宋体"/>
          <w:b w:val="0"/>
          <w:bCs w:val="0"/>
          <w:color w:val="000000"/>
          <w:sz w:val="32"/>
          <w:szCs w:val="36"/>
          <w:highlight w:val="none"/>
        </w:rPr>
      </w:pPr>
      <w:r>
        <w:rPr>
          <w:rFonts w:hint="eastAsia" w:ascii="宋体" w:hAnsi="宋体"/>
          <w:b w:val="0"/>
          <w:bCs w:val="0"/>
          <w:color w:val="000000"/>
          <w:sz w:val="32"/>
          <w:szCs w:val="36"/>
          <w:highlight w:val="none"/>
        </w:rPr>
        <w:t xml:space="preserve">代理机构：苏合邦筑工程咨询集团股份有限公司</w:t>
      </w:r>
      <w:r/>
    </w:p>
    <w:p>
      <w:pPr>
        <w:jc w:val="center"/>
        <w:spacing w:line="360" w:lineRule="auto"/>
        <w:rPr>
          <w:color w:val="000000"/>
          <w:highlight w:val="none"/>
        </w:rPr>
      </w:pPr>
      <w:r>
        <w:rPr>
          <w:rFonts w:hint="eastAsia" w:ascii="宋体" w:hAnsi="宋体"/>
          <w:b w:val="0"/>
          <w:bCs w:val="0"/>
          <w:color w:val="000000"/>
          <w:sz w:val="32"/>
          <w:szCs w:val="32"/>
          <w:highlight w:val="none"/>
        </w:rPr>
        <w:t xml:space="preserve">二〇二</w:t>
      </w:r>
      <w:r>
        <w:rPr>
          <w:rFonts w:hint="eastAsia" w:ascii="宋体" w:hAnsi="宋体"/>
          <w:b w:val="0"/>
          <w:bCs w:val="0"/>
          <w:color w:val="000000"/>
          <w:sz w:val="32"/>
          <w:szCs w:val="32"/>
          <w:highlight w:val="none"/>
          <w:lang w:val="en-US" w:eastAsia="zh-CN"/>
        </w:rPr>
        <w:t xml:space="preserve">五</w:t>
      </w:r>
      <w:r>
        <w:rPr>
          <w:rFonts w:hint="eastAsia" w:ascii="宋体" w:hAnsi="宋体"/>
          <w:b w:val="0"/>
          <w:bCs w:val="0"/>
          <w:color w:val="000000"/>
          <w:sz w:val="32"/>
          <w:szCs w:val="32"/>
          <w:highlight w:val="none"/>
        </w:rPr>
        <w:t xml:space="preserve">年</w:t>
      </w:r>
      <w:r>
        <w:rPr>
          <w:rFonts w:hint="eastAsia" w:ascii="宋体" w:hAnsi="宋体"/>
          <w:b w:val="0"/>
          <w:bCs w:val="0"/>
          <w:color w:val="000000"/>
          <w:sz w:val="32"/>
          <w:szCs w:val="32"/>
          <w:highlight w:val="none"/>
          <w:lang w:val="en-US" w:eastAsia="zh-CN"/>
        </w:rPr>
        <w:t xml:space="preserve">十二</w:t>
      </w:r>
      <w:r>
        <w:rPr>
          <w:rFonts w:ascii="宋体" w:hAnsi="宋体"/>
          <w:b w:val="0"/>
          <w:bCs w:val="0"/>
          <w:color w:val="000000"/>
          <w:sz w:val="32"/>
          <w:szCs w:val="32"/>
          <w:highlight w:val="none"/>
        </w:rPr>
        <w:t xml:space="preserve">月</w:t>
      </w:r>
      <w:r>
        <w:rPr>
          <w:color w:val="000000"/>
          <w:highlight w:val="none"/>
        </w:rPr>
        <w:br w:type="page" w:clear="all"/>
      </w:r>
      <w:r/>
    </w:p>
    <w:p>
      <w:pPr>
        <w:jc w:val="center"/>
        <w:spacing w:line="360" w:lineRule="auto"/>
        <w:rPr>
          <w:color w:val="000000"/>
          <w:highlight w:val="none"/>
        </w:rPr>
      </w:pPr>
      <w:r>
        <w:rPr>
          <w:color w:val="000000"/>
          <w:highlight w:val="none"/>
        </w:rPr>
      </w:r>
      <w:r/>
    </w:p>
    <w:p>
      <w:pPr>
        <w:jc w:val="center"/>
        <w:spacing w:line="360" w:lineRule="auto"/>
        <w:rPr>
          <w:rFonts w:ascii="宋体" w:hAnsi="宋体"/>
          <w:color w:val="000000"/>
          <w:sz w:val="32"/>
          <w:highlight w:val="none"/>
        </w:rPr>
      </w:pPr>
      <w:r>
        <w:rPr>
          <w:rFonts w:hint="eastAsia" w:ascii="宋体" w:hAnsi="宋体"/>
          <w:b/>
          <w:bCs/>
          <w:color w:val="000000"/>
          <w:sz w:val="36"/>
          <w:szCs w:val="36"/>
          <w:highlight w:val="none"/>
        </w:rPr>
        <w:t xml:space="preserve">目</w:t>
      </w:r>
      <w:r>
        <w:rPr>
          <w:rFonts w:ascii="宋体" w:hAnsi="宋体"/>
          <w:b/>
          <w:bCs/>
          <w:color w:val="000000"/>
          <w:sz w:val="36"/>
          <w:szCs w:val="36"/>
          <w:highlight w:val="none"/>
        </w:rPr>
        <w:t xml:space="preserve"> 录</w:t>
      </w:r>
      <w:r/>
    </w:p>
    <w:p>
      <w:pPr>
        <w:pStyle w:val="1054"/>
        <w:spacing w:line="360" w:lineRule="auto"/>
        <w:tabs>
          <w:tab w:val="right" w:pos="9922" w:leader="dot"/>
        </w:tabs>
        <w:rPr>
          <w:rFonts w:hint="eastAsia" w:ascii="宋体" w:hAnsi="宋体" w:eastAsia="宋体" w:cs="宋体"/>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TOC \o "1-3" \f </w:instrText>
      </w:r>
      <w:r>
        <w:rPr>
          <w:rFonts w:ascii="宋体" w:hAnsi="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竞争性磋商采购公告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_Toc24299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p>
    <w:p>
      <w:pPr>
        <w:pStyle w:val="1054"/>
        <w:spacing w:line="360" w:lineRule="auto"/>
        <w:tabs>
          <w:tab w:val="right" w:pos="9922"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_Toc23352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p>
    <w:p>
      <w:pPr>
        <w:pStyle w:val="1054"/>
        <w:spacing w:line="360" w:lineRule="auto"/>
        <w:tabs>
          <w:tab w:val="right" w:pos="9922"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第三章 合同条款及格式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_Toc24601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p>
    <w:p>
      <w:pPr>
        <w:pStyle w:val="1054"/>
        <w:spacing w:line="360" w:lineRule="auto"/>
        <w:tabs>
          <w:tab w:val="right" w:pos="9922"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第四章 项目需求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_Toc32629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p>
    <w:p>
      <w:pPr>
        <w:pStyle w:val="1054"/>
        <w:spacing w:line="360" w:lineRule="auto"/>
        <w:tabs>
          <w:tab w:val="right" w:pos="9922"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第五章 评审方法及评审标准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_Toc10645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30</w:t>
      </w:r>
      <w:r>
        <w:rPr>
          <w:rFonts w:hint="eastAsia" w:ascii="宋体" w:hAnsi="宋体" w:eastAsia="宋体" w:cs="宋体"/>
          <w:color w:val="000000"/>
          <w:sz w:val="28"/>
          <w:szCs w:val="28"/>
          <w:highlight w:val="none"/>
        </w:rPr>
        <w:fldChar w:fldCharType="end"/>
      </w:r>
      <w:r/>
    </w:p>
    <w:p>
      <w:pPr>
        <w:pStyle w:val="1054"/>
        <w:spacing w:line="360" w:lineRule="auto"/>
        <w:tabs>
          <w:tab w:val="right" w:pos="9922"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第六章 竞争性磋商响应文件格式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_Toc7178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rPr>
        <w:fldChar w:fldCharType="end"/>
      </w:r>
      <w:r/>
    </w:p>
    <w:p>
      <w:pPr>
        <w:rPr>
          <w:color w:val="000000"/>
          <w:sz w:val="28"/>
          <w:szCs w:val="28"/>
          <w:highlight w:val="none"/>
        </w:rPr>
      </w:pPr>
      <w:r>
        <w:rPr>
          <w:color w:val="000000"/>
          <w:sz w:val="28"/>
          <w:szCs w:val="28"/>
          <w:highlight w:val="none"/>
        </w:rPr>
      </w:r>
      <w:r/>
    </w:p>
    <w:p>
      <w:pPr>
        <w:rPr>
          <w:color w:val="000000"/>
          <w:highlight w:val="none"/>
        </w:rPr>
      </w:pPr>
      <w:r>
        <w:rPr>
          <w:color w:val="000000"/>
          <w:highlight w:val="none"/>
        </w:rPr>
      </w:r>
      <w:r/>
    </w:p>
    <w:p>
      <w:pPr>
        <w:spacing w:line="360" w:lineRule="auto"/>
        <w:rPr>
          <w:rFonts w:ascii="宋体" w:hAnsi="宋体"/>
          <w:color w:val="000000"/>
          <w:sz w:val="28"/>
          <w:szCs w:val="28"/>
          <w:highlight w:val="none"/>
        </w:rPr>
      </w:pPr>
      <w:r>
        <w:rPr>
          <w:rFonts w:ascii="宋体" w:hAnsi="宋体"/>
          <w:color w:val="000000"/>
          <w:sz w:val="28"/>
          <w:szCs w:val="28"/>
          <w:highlight w:val="none"/>
        </w:rPr>
        <w:fldChar w:fldCharType="end"/>
      </w:r>
      <w:r/>
    </w:p>
    <w:p>
      <w:pPr>
        <w:pStyle w:val="1027"/>
        <w:spacing w:line="360" w:lineRule="auto"/>
        <w:rPr>
          <w:rFonts w:hint="eastAsia" w:ascii="宋体" w:hAnsi="宋体"/>
          <w:color w:val="000000"/>
          <w:szCs w:val="36"/>
          <w:highlight w:val="none"/>
        </w:rPr>
        <w:sectPr>
          <w:headerReference w:type="default" r:id="rId9"/>
          <w:footerReference w:type="default" r:id="rId12"/>
          <w:footerReference w:type="first" r:id="rId13"/>
          <w:footnotePr/>
          <w:endnotePr/>
          <w:type w:val="nextPage"/>
          <w:pgSz w:w="11906" w:h="16838" w:orient="portrait"/>
          <w:pgMar w:top="1417" w:right="850" w:bottom="1417" w:left="1134" w:header="851" w:footer="992" w:gutter="0"/>
          <w:pgNumType w:start="1"/>
          <w:cols w:num="1" w:sep="0" w:space="1701" w:equalWidth="1"/>
          <w:docGrid w:linePitch="360"/>
          <w:titlePg/>
        </w:sectPr>
      </w:pPr>
      <w:r/>
      <w:bookmarkStart w:id="4" w:name="_Toc109304965"/>
      <w:r/>
      <w:r/>
    </w:p>
    <w:p>
      <w:pPr>
        <w:pStyle w:val="1027"/>
        <w:numPr>
          <w:ilvl w:val="0"/>
          <w:numId w:val="1"/>
        </w:numPr>
        <w:jc w:val="center"/>
        <w:spacing w:line="360" w:lineRule="auto"/>
        <w:rPr>
          <w:rFonts w:hint="eastAsia" w:ascii="宋体" w:hAnsi="宋体"/>
          <w:color w:val="000000"/>
          <w:szCs w:val="36"/>
          <w:highlight w:val="none"/>
          <w:lang w:eastAsia="zh-CN"/>
        </w:rPr>
      </w:pPr>
      <w:r/>
      <w:bookmarkStart w:id="5" w:name="_Toc24299"/>
      <w:r/>
      <w:bookmarkStart w:id="6" w:name="_Toc152"/>
      <w:r>
        <w:rPr>
          <w:rFonts w:hint="eastAsia" w:ascii="宋体" w:hAnsi="宋体"/>
          <w:color w:val="000000"/>
          <w:szCs w:val="36"/>
          <w:highlight w:val="none"/>
          <w:lang w:eastAsia="zh-CN"/>
        </w:rPr>
        <w:t xml:space="preserve">扬州市江都区垃圾填埋场渗滤液处理站运营项目</w:t>
      </w:r>
      <w:r/>
    </w:p>
    <w:p>
      <w:pPr>
        <w:pStyle w:val="1027"/>
        <w:numPr>
          <w:ilvl w:val="0"/>
          <w:numId w:val="0"/>
        </w:numPr>
        <w:jc w:val="center"/>
        <w:spacing w:line="360" w:lineRule="auto"/>
        <w:rPr>
          <w:rFonts w:hint="eastAsia" w:ascii="宋体" w:hAnsi="宋体" w:eastAsia="宋体"/>
          <w:color w:val="000000"/>
          <w:sz w:val="36"/>
          <w:szCs w:val="36"/>
          <w:highlight w:val="none"/>
          <w:lang w:eastAsia="zh-CN"/>
        </w:rPr>
      </w:pPr>
      <w:r>
        <w:rPr>
          <w:rFonts w:hint="eastAsia" w:ascii="宋体" w:hAnsi="宋体"/>
          <w:color w:val="000000"/>
          <w:szCs w:val="36"/>
          <w:highlight w:val="none"/>
        </w:rPr>
        <w:t xml:space="preserve">竞争性磋商采购公告</w:t>
      </w:r>
      <w:bookmarkEnd w:id="5"/>
      <w:r/>
      <w:bookmarkEnd w:id="6"/>
      <w:r>
        <w:rPr>
          <w:rFonts w:hint="eastAsia" w:ascii="宋体" w:hAnsi="宋体"/>
          <w:color w:val="000000"/>
          <w:szCs w:val="36"/>
          <w:highlight w:val="none"/>
          <w:lang w:eastAsia="zh-CN"/>
        </w:rPr>
        <w:t xml:space="preserve">（</w:t>
      </w:r>
      <w:r>
        <w:rPr>
          <w:rFonts w:hint="eastAsia" w:ascii="宋体" w:hAnsi="宋体"/>
          <w:color w:val="000000"/>
          <w:szCs w:val="36"/>
          <w:highlight w:val="none"/>
          <w:lang w:val="en-US" w:eastAsia="zh-CN"/>
        </w:rPr>
        <w:t xml:space="preserve">二次</w:t>
      </w:r>
      <w:r>
        <w:rPr>
          <w:rFonts w:hint="eastAsia" w:ascii="宋体" w:hAnsi="宋体"/>
          <w:color w:val="000000"/>
          <w:szCs w:val="36"/>
          <w:highlight w:val="none"/>
          <w:lang w:eastAsia="zh-CN"/>
        </w:rPr>
        <w:t xml:space="preserve">）</w:t>
      </w:r>
      <w:r/>
    </w:p>
    <w:p>
      <w:pPr>
        <w:ind w:firstLine="48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cs="宋体"/>
          <w:color w:val="000000"/>
          <w:szCs w:val="21"/>
          <w:highlight w:val="none"/>
          <w:lang w:eastAsia="zh-CN"/>
        </w:rPr>
        <w:t xml:space="preserve">扬州市江都区环境卫生管理处</w:t>
      </w:r>
      <w:r>
        <w:rPr>
          <w:rFonts w:hint="eastAsia" w:ascii="宋体" w:hAnsi="宋体" w:eastAsia="宋体" w:cs="宋体"/>
          <w:color w:val="000000"/>
          <w:szCs w:val="21"/>
          <w:highlight w:val="none"/>
        </w:rPr>
        <w:t xml:space="preserve">）的委托，（苏合邦筑工程咨询集团股份有限公司）关于（</w:t>
      </w:r>
      <w:r>
        <w:rPr>
          <w:rFonts w:hint="eastAsia" w:ascii="宋体" w:hAnsi="宋体" w:cs="宋体"/>
          <w:color w:val="000000"/>
          <w:szCs w:val="21"/>
          <w:highlight w:val="none"/>
          <w:lang w:eastAsia="zh-CN"/>
        </w:rPr>
        <w:t xml:space="preserve">扬州市江都区垃圾填埋场渗滤液处理站运营项目</w:t>
      </w:r>
      <w:r>
        <w:rPr>
          <w:rFonts w:hint="eastAsia" w:ascii="宋体" w:hAnsi="宋体" w:eastAsia="宋体" w:cs="宋体"/>
          <w:color w:val="000000"/>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szCs w:val="21"/>
          <w:highlight w:val="none"/>
        </w:rPr>
        <w:t xml:space="preserve">项目概况：</w:t>
      </w:r>
      <w:r/>
    </w:p>
    <w:p>
      <w:pPr>
        <w:ind w:firstLine="42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扬州市江都区垃圾填埋场渗滤液处理站运营项目</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的潜在供应商</w:t>
      </w:r>
      <w:r>
        <w:rPr>
          <w:rFonts w:hint="eastAsia" w:ascii="宋体" w:hAnsi="宋体" w:eastAsia="宋体" w:cs="宋体"/>
          <w:color w:val="000000"/>
          <w:szCs w:val="21"/>
          <w:highlight w:val="none"/>
          <w:u w:val="single"/>
        </w:rPr>
        <w:t xml:space="preserve">可在“扬州市政府采购网”、“江苏省政府采购网”、自行免费下载</w:t>
      </w:r>
      <w:r>
        <w:rPr>
          <w:rFonts w:hint="eastAsia" w:ascii="宋体" w:hAnsi="宋体" w:eastAsia="宋体" w:cs="宋体"/>
          <w:color w:val="000000"/>
          <w:szCs w:val="21"/>
          <w:highlight w:val="none"/>
        </w:rPr>
        <w:t xml:space="preserve">采购文件，并于</w:t>
      </w:r>
      <w:r>
        <w:rPr>
          <w:rFonts w:hint="eastAsia" w:ascii="宋体" w:hAnsi="宋体" w:cs="宋体"/>
          <w:bCs/>
          <w:color w:val="000000"/>
          <w:szCs w:val="21"/>
          <w:highlight w:val="none"/>
          <w:u w:val="single"/>
          <w:lang w:eastAsia="zh-CN"/>
        </w:rPr>
        <w:t xml:space="preserve">2026</w:t>
      </w:r>
      <w:r>
        <w:rPr>
          <w:rFonts w:hint="eastAsia" w:ascii="宋体" w:hAnsi="宋体" w:eastAsia="宋体" w:cs="宋体"/>
          <w:bCs/>
          <w:color w:val="000000"/>
          <w:szCs w:val="21"/>
          <w:highlight w:val="none"/>
          <w:u w:val="single"/>
          <w:lang w:eastAsia="zh-CN"/>
        </w:rPr>
        <w:t xml:space="preserve">年</w:t>
      </w:r>
      <w:r>
        <w:rPr>
          <w:rFonts w:hint="eastAsia" w:ascii="宋体" w:hAnsi="宋体" w:cs="宋体"/>
          <w:bCs/>
          <w:color w:val="000000"/>
          <w:szCs w:val="21"/>
          <w:highlight w:val="none"/>
          <w:u w:val="single"/>
          <w:lang w:eastAsia="zh-CN"/>
        </w:rPr>
        <w:t xml:space="preserve">01月13日</w:t>
      </w:r>
      <w:r>
        <w:rPr>
          <w:rFonts w:hint="eastAsia" w:ascii="宋体" w:hAnsi="宋体" w:eastAsia="宋体" w:cs="宋体"/>
          <w:bCs/>
          <w:color w:val="000000"/>
          <w:szCs w:val="21"/>
          <w:highlight w:val="none"/>
          <w:u w:val="single"/>
        </w:rPr>
        <w:t xml:space="preserve">9点30分</w:t>
      </w:r>
      <w:r>
        <w:rPr>
          <w:rFonts w:hint="eastAsia" w:ascii="宋体" w:hAnsi="宋体" w:eastAsia="宋体" w:cs="宋体"/>
          <w:bCs/>
          <w:color w:val="000000"/>
          <w:szCs w:val="21"/>
          <w:highlight w:val="none"/>
        </w:rPr>
        <w:t xml:space="preserve">（北京时间）前提交响应文件</w:t>
      </w:r>
      <w:r>
        <w:rPr>
          <w:rFonts w:hint="eastAsia" w:ascii="宋体" w:hAnsi="宋体" w:eastAsia="宋体" w:cs="宋体"/>
          <w:color w:val="000000"/>
          <w:szCs w:val="21"/>
          <w:highlight w:val="none"/>
        </w:rPr>
        <w:t xml:space="preserve">。</w:t>
      </w:r>
      <w:r/>
    </w:p>
    <w:p>
      <w:pPr>
        <w:pStyle w:val="1028"/>
        <w:spacing w:before="0" w:after="0" w:line="360" w:lineRule="auto"/>
        <w:rPr>
          <w:rFonts w:hint="eastAsia" w:ascii="宋体" w:hAnsi="宋体" w:eastAsia="宋体" w:cs="宋体"/>
          <w:bCs w:val="0"/>
          <w:color w:val="000000"/>
          <w:sz w:val="21"/>
          <w:szCs w:val="21"/>
          <w:highlight w:val="none"/>
        </w:rPr>
      </w:pPr>
      <w:r/>
      <w:bookmarkStart w:id="7" w:name="_Toc109304963"/>
      <w:r/>
      <w:bookmarkStart w:id="8" w:name="_Toc30774"/>
      <w:r>
        <w:rPr>
          <w:rFonts w:hint="eastAsia" w:ascii="宋体" w:hAnsi="宋体" w:eastAsia="宋体" w:cs="宋体"/>
          <w:bCs w:val="0"/>
          <w:color w:val="000000"/>
          <w:sz w:val="21"/>
          <w:szCs w:val="21"/>
          <w:highlight w:val="none"/>
        </w:rPr>
        <w:t xml:space="preserve">一、项目基本情况</w:t>
      </w:r>
      <w:bookmarkEnd w:id="7"/>
      <w:r/>
      <w:bookmarkEnd w:id="8"/>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JSZC-321012-SHBZ-C2025-0022</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2.项目名称：</w:t>
      </w:r>
      <w:r>
        <w:rPr>
          <w:rFonts w:hint="eastAsia" w:ascii="宋体" w:hAnsi="宋体" w:cs="宋体"/>
          <w:color w:val="000000"/>
          <w:szCs w:val="21"/>
          <w:highlight w:val="none"/>
          <w:lang w:eastAsia="zh-CN"/>
        </w:rPr>
        <w:t xml:space="preserve">扬州市江都区垃圾填埋场渗滤液处理站运营项目</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3.采购方式：竞争性磋商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预算价：</w:t>
      </w:r>
      <w:r>
        <w:rPr>
          <w:rFonts w:hint="eastAsia" w:ascii="宋体" w:hAnsi="宋体" w:cs="宋体"/>
          <w:color w:val="000000"/>
          <w:szCs w:val="21"/>
          <w:highlight w:val="none"/>
          <w:lang w:val="en-US" w:eastAsia="zh-CN"/>
        </w:rPr>
        <w:t xml:space="preserve">110万</w:t>
      </w:r>
      <w:r>
        <w:rPr>
          <w:rFonts w:hint="eastAsia" w:ascii="宋体" w:hAnsi="宋体" w:eastAsia="宋体" w:cs="宋体"/>
          <w:color w:val="000000"/>
          <w:szCs w:val="21"/>
          <w:highlight w:val="none"/>
          <w:lang w:val="en-US" w:eastAsia="zh-CN"/>
        </w:rPr>
        <w:t xml:space="preserve">元；</w:t>
      </w:r>
      <w:r>
        <w:rPr>
          <w:rFonts w:hint="eastAsia" w:ascii="宋体" w:hAnsi="宋体" w:eastAsia="宋体" w:cs="宋体"/>
          <w:color w:val="000000"/>
          <w:szCs w:val="21"/>
          <w:highlight w:val="none"/>
        </w:rPr>
        <w:t xml:space="preserve">最高限价：</w:t>
      </w:r>
      <w:r>
        <w:rPr>
          <w:rFonts w:hint="eastAsia" w:ascii="宋体" w:hAnsi="宋体" w:cs="宋体"/>
          <w:color w:val="000000"/>
          <w:szCs w:val="21"/>
          <w:highlight w:val="none"/>
          <w:lang w:val="en-US" w:eastAsia="zh-CN"/>
        </w:rPr>
        <w:t xml:space="preserve">110万</w:t>
      </w:r>
      <w:r>
        <w:rPr>
          <w:rFonts w:hint="eastAsia" w:ascii="宋体" w:hAnsi="宋体" w:eastAsia="宋体" w:cs="宋体"/>
          <w:color w:val="000000"/>
          <w:szCs w:val="21"/>
          <w:highlight w:val="none"/>
          <w:lang w:val="en-US" w:eastAsia="zh-CN"/>
        </w:rPr>
        <w:t xml:space="preserve">元，</w:t>
      </w:r>
      <w:r>
        <w:rPr>
          <w:rFonts w:hint="eastAsia" w:ascii="宋体" w:hAnsi="宋体" w:eastAsia="宋体" w:cs="宋体"/>
          <w:color w:val="000000"/>
          <w:szCs w:val="21"/>
          <w:highlight w:val="none"/>
        </w:rPr>
        <w:t xml:space="preserve">报价高于最高限价的为无效标。</w:t>
      </w:r>
      <w:r/>
    </w:p>
    <w:p>
      <w:pPr>
        <w:ind w:firstLine="420"/>
        <w:spacing w:line="360" w:lineRule="auto"/>
        <w:rPr>
          <w:rFonts w:hint="eastAsia" w:ascii="宋体" w:hAnsi="宋体" w:eastAsia="宋体" w:cs="宋体"/>
          <w:color w:val="000000"/>
          <w:szCs w:val="21"/>
          <w:highlight w:val="none"/>
          <w:u w:val="single"/>
        </w:rPr>
      </w:pPr>
      <w:r>
        <w:rPr>
          <w:rFonts w:hint="eastAsia" w:ascii="宋体" w:hAnsi="宋体" w:eastAsia="宋体" w:cs="宋体"/>
          <w:b w:val="0"/>
          <w:bCs w:val="0"/>
          <w:color w:val="000000"/>
          <w:szCs w:val="21"/>
          <w:highlight w:val="none"/>
        </w:rPr>
        <w:t xml:space="preserve">5</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color w:val="000000"/>
          <w:szCs w:val="21"/>
          <w:highlight w:val="none"/>
        </w:rPr>
        <w:t xml:space="preserve">采购需求：见采购文件第四章</w:t>
      </w:r>
      <w:r/>
    </w:p>
    <w:p>
      <w:pPr>
        <w:ind w:firstLine="420"/>
        <w:spacing w:line="360" w:lineRule="auto"/>
        <w:rPr>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.合同履行期限：</w:t>
      </w:r>
      <w:r>
        <w:rPr>
          <w:rFonts w:hint="eastAsia" w:ascii="宋体" w:hAnsi="宋体" w:eastAsia="宋体" w:cs="宋体"/>
          <w:color w:val="000000"/>
          <w:szCs w:val="21"/>
          <w:highlight w:val="none"/>
          <w:u w:val="none"/>
          <w:lang w:val="en-US" w:eastAsia="zh-CN"/>
        </w:rPr>
        <w:t xml:space="preserve">详见采购文件第四章</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.本项目不接受联合体投标。</w:t>
      </w:r>
      <w:r/>
    </w:p>
    <w:p>
      <w:pPr>
        <w:pStyle w:val="1028"/>
        <w:spacing w:before="0" w:after="0" w:line="360" w:lineRule="auto"/>
        <w:rPr>
          <w:rFonts w:hint="eastAsia" w:ascii="宋体" w:hAnsi="宋体" w:eastAsia="宋体" w:cs="宋体"/>
          <w:bCs w:val="0"/>
          <w:color w:val="000000"/>
          <w:sz w:val="21"/>
          <w:szCs w:val="21"/>
          <w:highlight w:val="none"/>
        </w:rPr>
      </w:pPr>
      <w:r/>
      <w:bookmarkStart w:id="9" w:name="_Toc109304964"/>
      <w:r/>
      <w:bookmarkStart w:id="10" w:name="_Toc32345"/>
      <w:r>
        <w:rPr>
          <w:rFonts w:hint="eastAsia" w:ascii="宋体" w:hAnsi="宋体" w:eastAsia="宋体" w:cs="宋体"/>
          <w:bCs w:val="0"/>
          <w:color w:val="000000"/>
          <w:sz w:val="21"/>
          <w:szCs w:val="21"/>
          <w:highlight w:val="none"/>
        </w:rPr>
        <w:t xml:space="preserve">二、申请人的资格要求：</w:t>
      </w:r>
      <w:bookmarkEnd w:id="9"/>
      <w:r/>
      <w:bookmarkEnd w:id="10"/>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1.1法人或者其他组织的营业执照等证明文件，自然人的身份证明（身份证为正、反面）</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1.2依法缴纳职工社会保障资金的证明材料（可提供“基本资格条件承诺函”）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1.3依法纳税的缴款凭证（可提供“基本资格条件承诺函”）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1.4具有良好的商业信誉和健全的财务会计制度（可提供“基本资格条件承诺函”）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1.5具备履行合同所必需的设备和专业技术能力（可提供“基本资格条件承诺函”）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1.6参加本次政府采购活动前3年内在经营活动中没有重大违法记录的书面声明（可提供“基本资格条件承诺函”）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1.8供应商信用承诺函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2.落实政府采购政策需满足的资格要求：</w:t>
      </w:r>
      <w:r>
        <w:rPr>
          <w:rFonts w:hint="eastAsia" w:ascii="宋体" w:hAnsi="宋体" w:eastAsia="宋体" w:cs="宋体"/>
          <w:color w:val="000000"/>
          <w:szCs w:val="21"/>
          <w:highlight w:val="none"/>
          <w:u w:val="single"/>
          <w:lang w:val="en-US" w:eastAsia="zh-CN"/>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eastAsia="宋体" w:cs="宋体"/>
          <w:color w:val="000000"/>
          <w:szCs w:val="21"/>
          <w:highlight w:val="none"/>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3.本项目的特定资格要求：</w:t>
      </w:r>
      <w:r/>
    </w:p>
    <w:p>
      <w:pPr>
        <w:pStyle w:val="1028"/>
        <w:ind w:firstLine="420"/>
        <w:spacing w:before="0" w:after="0" w:line="360" w:lineRule="auto"/>
        <w:rPr>
          <w:rFonts w:hint="eastAsia" w:ascii="宋体" w:hAnsi="宋体" w:eastAsia="宋体" w:cs="宋体"/>
          <w:b w:val="0"/>
          <w:bCs w:val="0"/>
          <w:color w:val="000000"/>
          <w:sz w:val="21"/>
          <w:szCs w:val="21"/>
          <w:highlight w:val="none"/>
          <w:lang w:val="en-US" w:eastAsia="zh-CN"/>
        </w:rPr>
      </w:pPr>
      <w:r/>
      <w:bookmarkStart w:id="11" w:name="_Toc17557"/>
      <w:r>
        <w:rPr>
          <w:rFonts w:hint="eastAsia" w:ascii="宋体" w:hAnsi="宋体" w:eastAsia="宋体" w:cs="宋体"/>
          <w:b w:val="0"/>
          <w:bCs w:val="0"/>
          <w:color w:val="000000"/>
          <w:sz w:val="21"/>
          <w:szCs w:val="21"/>
          <w:highlight w:val="none"/>
          <w:lang w:val="en-US" w:eastAsia="zh-CN"/>
        </w:rPr>
        <w:t xml:space="preserve">无</w:t>
      </w:r>
      <w:r/>
    </w:p>
    <w:p>
      <w:pPr>
        <w:pStyle w:val="1028"/>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三、获取采购文件</w:t>
      </w:r>
      <w:bookmarkEnd w:id="4"/>
      <w:r/>
      <w:bookmarkEnd w:id="11"/>
      <w:r/>
      <w:r/>
    </w:p>
    <w:p>
      <w:pPr>
        <w:ind w:firstLine="5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Cs w:val="21"/>
          <w:highlight w:val="none"/>
        </w:rPr>
        <w:t xml:space="preserve">1.时间：</w:t>
      </w:r>
      <w:r>
        <w:rPr>
          <w:rFonts w:hint="eastAsia" w:ascii="宋体" w:hAnsi="宋体" w:eastAsia="宋体" w:cs="宋体"/>
          <w:color w:val="000000"/>
          <w:highlight w:val="none"/>
        </w:rPr>
        <w:t xml:space="preserve">自磋商公告发布之日起5个工作日。5个工作日后仍可下载采购文件，但不作为供应商权益受到损害的证明材料和依据</w:t>
      </w:r>
      <w:r>
        <w:rPr>
          <w:rFonts w:hint="eastAsia" w:ascii="宋体" w:hAnsi="宋体" w:cs="宋体"/>
          <w:color w:val="000000"/>
          <w:highlight w:val="none"/>
          <w:lang w:eastAsia="zh-CN"/>
        </w:rPr>
        <w:t xml:space="preserve">。</w:t>
      </w:r>
      <w:r/>
    </w:p>
    <w:p>
      <w:pPr>
        <w:ind w:firstLine="54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2.获取方式：</w:t>
      </w:r>
      <w:r>
        <w:rPr>
          <w:rFonts w:hint="eastAsia" w:ascii="宋体" w:hAnsi="宋体" w:eastAsia="宋体" w:cs="宋体"/>
          <w:b/>
          <w:bCs/>
          <w:color w:val="000000"/>
          <w:szCs w:val="21"/>
          <w:highlight w:val="none"/>
        </w:rPr>
        <w:t xml:space="preserve">本项目采用网上注册登记方式。</w:t>
      </w:r>
      <w:r/>
    </w:p>
    <w:p>
      <w:pPr>
        <w:ind w:firstLine="5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3.潜在供应商访问政府采购管理交易系统（苏采云）的网络地址和方法：</w:t>
      </w:r>
      <w:r/>
    </w:p>
    <w:p>
      <w:pPr>
        <w:ind w:firstLine="5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（3）“CA数字证书”的办理材料以及供应商操作手册详见：</w:t>
      </w:r>
      <w:r/>
    </w:p>
    <w:p>
      <w:pPr>
        <w:ind w:firstLine="5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http://zfcg.yangzhou.gov.cn/zfcg/xzzx/202309/4d7de1f7865f4a2894fc22bc452f94d8.shtml。</w:t>
      </w:r>
      <w:r/>
    </w:p>
    <w:p>
      <w:pPr>
        <w:ind w:firstLine="5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（4）潜在供应商访问“苏采云”系统的网络地址和方法：“苏采云”系统的网址：http://jszfcg.jsczt.cn/。</w:t>
      </w:r>
      <w:r/>
    </w:p>
    <w:p>
      <w:pPr>
        <w:ind w:firstLine="5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（6）招标代理机构（采购代理机构）将数据电文形式的采购文件加载至“苏采云”系统，供潜在供应商下载或者查阅。</w:t>
      </w:r>
      <w:r/>
    </w:p>
    <w:p>
      <w:pPr>
        <w:ind w:firstLine="540"/>
        <w:spacing w:line="360" w:lineRule="auto"/>
        <w:rPr>
          <w:rFonts w:hint="eastAsia" w:ascii="宋体" w:hAnsi="宋体" w:eastAsia="宋体" w:cs="宋体"/>
          <w:color w:val="000000"/>
          <w:szCs w:val="21"/>
          <w:highlight w:val="none"/>
          <w:u w:val="single"/>
        </w:rPr>
      </w:pPr>
      <w:r>
        <w:rPr>
          <w:rFonts w:hint="eastAsia" w:ascii="宋体" w:hAnsi="宋体" w:eastAsia="宋体" w:cs="宋体"/>
          <w:b/>
          <w:bCs/>
          <w:color w:val="000000"/>
          <w:highlight w:val="none"/>
        </w:rPr>
        <w:t xml:space="preserve">（7）苏采云系统使用谷歌浏览器参与不见面开标。</w:t>
      </w:r>
      <w:r/>
    </w:p>
    <w:p>
      <w:pPr>
        <w:pStyle w:val="1028"/>
        <w:spacing w:before="0" w:after="0" w:line="360" w:lineRule="auto"/>
        <w:rPr>
          <w:rFonts w:hint="eastAsia" w:ascii="宋体" w:hAnsi="宋体" w:eastAsia="宋体" w:cs="宋体"/>
          <w:bCs w:val="0"/>
          <w:color w:val="000000"/>
          <w:sz w:val="21"/>
          <w:szCs w:val="21"/>
          <w:highlight w:val="none"/>
        </w:rPr>
      </w:pPr>
      <w:r/>
      <w:bookmarkStart w:id="12" w:name="_Toc109304966"/>
      <w:r/>
      <w:bookmarkStart w:id="13" w:name="_Toc15334"/>
      <w:r>
        <w:rPr>
          <w:rFonts w:hint="eastAsia" w:ascii="宋体" w:hAnsi="宋体" w:eastAsia="宋体" w:cs="宋体"/>
          <w:bCs w:val="0"/>
          <w:color w:val="000000"/>
          <w:sz w:val="21"/>
          <w:szCs w:val="21"/>
          <w:highlight w:val="none"/>
        </w:rPr>
        <w:t xml:space="preserve">四、响应文件提交</w:t>
      </w:r>
      <w:bookmarkEnd w:id="12"/>
      <w:r/>
      <w:bookmarkEnd w:id="13"/>
      <w:r/>
      <w:r/>
    </w:p>
    <w:p>
      <w:pPr>
        <w:ind w:firstLine="420"/>
        <w:spacing w:line="360" w:lineRule="auto"/>
        <w:rPr>
          <w:rFonts w:hint="eastAsia" w:ascii="宋体" w:hAnsi="宋体" w:eastAsia="宋体" w:cs="宋体"/>
          <w:bCs/>
          <w:color w:val="000000"/>
          <w:szCs w:val="21"/>
          <w:highlight w:val="none"/>
          <w:u w:val="single"/>
        </w:rPr>
      </w:pPr>
      <w:r>
        <w:rPr>
          <w:rFonts w:hint="eastAsia" w:ascii="宋体" w:hAnsi="宋体" w:eastAsia="宋体" w:cs="宋体"/>
          <w:color w:val="000000"/>
          <w:szCs w:val="21"/>
          <w:highlight w:val="none"/>
        </w:rPr>
        <w:t xml:space="preserve">1.截止时间：</w:t>
      </w:r>
      <w:r>
        <w:rPr>
          <w:rFonts w:hint="eastAsia" w:ascii="宋体" w:hAnsi="宋体" w:cs="宋体"/>
          <w:bCs/>
          <w:color w:val="000000"/>
          <w:szCs w:val="21"/>
          <w:highlight w:val="none"/>
          <w:u w:val="single"/>
          <w:lang w:eastAsia="zh-CN"/>
        </w:rPr>
        <w:t xml:space="preserve">2026</w:t>
      </w:r>
      <w:r>
        <w:rPr>
          <w:rFonts w:hint="eastAsia" w:ascii="宋体" w:hAnsi="宋体" w:eastAsia="宋体" w:cs="宋体"/>
          <w:bCs/>
          <w:color w:val="000000"/>
          <w:szCs w:val="21"/>
          <w:highlight w:val="none"/>
          <w:u w:val="single"/>
          <w:lang w:eastAsia="zh-CN"/>
        </w:rPr>
        <w:t xml:space="preserve">年</w:t>
      </w:r>
      <w:r>
        <w:rPr>
          <w:rFonts w:hint="eastAsia" w:ascii="宋体" w:hAnsi="宋体" w:cs="宋体"/>
          <w:bCs/>
          <w:color w:val="000000"/>
          <w:szCs w:val="21"/>
          <w:highlight w:val="none"/>
          <w:u w:val="single"/>
          <w:lang w:eastAsia="zh-CN"/>
        </w:rPr>
        <w:t xml:space="preserve">01月13日</w:t>
      </w:r>
      <w:r>
        <w:rPr>
          <w:rFonts w:hint="eastAsia" w:ascii="宋体" w:hAnsi="宋体" w:eastAsia="宋体" w:cs="宋体"/>
          <w:bCs/>
          <w:color w:val="000000"/>
          <w:szCs w:val="21"/>
          <w:highlight w:val="none"/>
          <w:u w:val="single"/>
        </w:rPr>
        <w:t xml:space="preserve">9点30分</w:t>
      </w:r>
      <w:r>
        <w:rPr>
          <w:rFonts w:hint="eastAsia" w:ascii="宋体" w:hAnsi="宋体" w:eastAsia="宋体" w:cs="宋体"/>
          <w:bCs/>
          <w:color w:val="000000"/>
          <w:szCs w:val="21"/>
          <w:highlight w:val="none"/>
        </w:rPr>
        <w:t xml:space="preserve">（北京时间）</w:t>
      </w:r>
      <w:r/>
    </w:p>
    <w:p>
      <w:pPr>
        <w:ind w:firstLine="422"/>
        <w:spacing w:line="360" w:lineRule="auto"/>
        <w:rPr>
          <w:rFonts w:hint="eastAsia" w:ascii="宋体" w:hAnsi="宋体" w:eastAsia="宋体" w:cs="宋体"/>
          <w:bCs/>
          <w:color w:val="000000"/>
          <w:szCs w:val="21"/>
          <w:highlight w:val="none"/>
          <w:u w:val="single"/>
        </w:rPr>
      </w:pPr>
      <w:r/>
      <w:bookmarkStart w:id="14" w:name="_Toc109304967"/>
      <w:r>
        <w:rPr>
          <w:rFonts w:hint="eastAsia" w:ascii="宋体" w:hAnsi="宋体" w:eastAsia="宋体" w:cs="宋体"/>
          <w:b/>
          <w:bCs/>
          <w:color w:val="000000"/>
          <w:szCs w:val="21"/>
          <w:highlight w:val="none"/>
        </w:rPr>
        <w:t xml:space="preserve">2.投标地点：“苏采云”系统（网址： http://jszfcg.jsczt.cn/）“报名详情”</w:t>
      </w:r>
      <w:r/>
    </w:p>
    <w:p>
      <w:pPr>
        <w:pStyle w:val="1028"/>
        <w:spacing w:before="0" w:after="0" w:line="360" w:lineRule="auto"/>
        <w:rPr>
          <w:rFonts w:hint="eastAsia" w:ascii="宋体" w:hAnsi="宋体" w:eastAsia="宋体" w:cs="宋体"/>
          <w:bCs w:val="0"/>
          <w:color w:val="000000"/>
          <w:sz w:val="21"/>
          <w:szCs w:val="21"/>
          <w:highlight w:val="none"/>
        </w:rPr>
      </w:pPr>
      <w:r/>
      <w:bookmarkStart w:id="15" w:name="_Toc15383"/>
      <w:r>
        <w:rPr>
          <w:rFonts w:hint="eastAsia" w:ascii="宋体" w:hAnsi="宋体" w:eastAsia="宋体" w:cs="宋体"/>
          <w:bCs w:val="0"/>
          <w:color w:val="000000"/>
          <w:sz w:val="21"/>
          <w:szCs w:val="21"/>
          <w:highlight w:val="none"/>
        </w:rPr>
        <w:t xml:space="preserve">五、开启</w:t>
      </w:r>
      <w:bookmarkEnd w:id="14"/>
      <w:r/>
      <w:bookmarkEnd w:id="15"/>
      <w:r/>
      <w:r/>
    </w:p>
    <w:p>
      <w:pPr>
        <w:pStyle w:val="1029"/>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1.时间</w:t>
      </w:r>
      <w:r>
        <w:rPr>
          <w:rFonts w:hint="eastAsia" w:ascii="宋体" w:hAnsi="宋体" w:cs="宋体"/>
          <w:bCs/>
          <w:color w:val="000000"/>
          <w:szCs w:val="21"/>
          <w:highlight w:val="none"/>
          <w:u w:val="single"/>
          <w:lang w:eastAsia="zh-CN"/>
        </w:rPr>
        <w:t xml:space="preserve">2026</w:t>
      </w:r>
      <w:r>
        <w:rPr>
          <w:rFonts w:hint="eastAsia" w:ascii="宋体" w:hAnsi="宋体" w:eastAsia="宋体" w:cs="宋体"/>
          <w:bCs/>
          <w:color w:val="000000"/>
          <w:szCs w:val="21"/>
          <w:highlight w:val="none"/>
          <w:u w:val="single"/>
          <w:lang w:eastAsia="zh-CN"/>
        </w:rPr>
        <w:t xml:space="preserve">年</w:t>
      </w:r>
      <w:r>
        <w:rPr>
          <w:rFonts w:hint="eastAsia" w:ascii="宋体" w:hAnsi="宋体" w:cs="宋体"/>
          <w:bCs/>
          <w:color w:val="000000"/>
          <w:szCs w:val="21"/>
          <w:highlight w:val="none"/>
          <w:u w:val="single"/>
          <w:lang w:eastAsia="zh-CN"/>
        </w:rPr>
        <w:t xml:space="preserve">01月13日</w:t>
      </w:r>
      <w:r>
        <w:rPr>
          <w:rFonts w:hint="eastAsia" w:ascii="宋体" w:hAnsi="宋体" w:eastAsia="宋体" w:cs="宋体"/>
          <w:bCs/>
          <w:color w:val="000000"/>
          <w:szCs w:val="21"/>
          <w:highlight w:val="none"/>
          <w:u w:val="single"/>
        </w:rPr>
        <w:t xml:space="preserve">9点30分</w:t>
      </w:r>
      <w:r>
        <w:rPr>
          <w:rFonts w:hint="eastAsia" w:ascii="宋体" w:hAnsi="宋体" w:eastAsia="宋体" w:cs="宋体"/>
          <w:bCs/>
          <w:color w:val="000000"/>
          <w:szCs w:val="21"/>
          <w:highlight w:val="none"/>
        </w:rPr>
        <w:t xml:space="preserve">（北京时间）</w:t>
      </w:r>
      <w:r/>
    </w:p>
    <w:p>
      <w:pPr>
        <w:ind w:firstLine="422"/>
        <w:spacing w:line="360" w:lineRule="auto"/>
        <w:rPr>
          <w:rFonts w:hint="eastAsia" w:ascii="宋体" w:hAnsi="宋体" w:eastAsia="宋体" w:cs="宋体"/>
          <w:b/>
          <w:color w:val="000000"/>
          <w:szCs w:val="21"/>
          <w:highlight w:val="none"/>
        </w:rPr>
      </w:pPr>
      <w:r/>
      <w:bookmarkStart w:id="16" w:name="_Toc109304968"/>
      <w:r>
        <w:rPr>
          <w:rFonts w:hint="eastAsia" w:ascii="宋体" w:hAnsi="宋体" w:eastAsia="宋体" w:cs="宋体"/>
          <w:b/>
          <w:color w:val="000000"/>
          <w:szCs w:val="21"/>
          <w:highlight w:val="none"/>
        </w:rPr>
        <w:t xml:space="preserve">2.开标地点：“苏采云”系统（网址： http://jszfcg.jsczt.cn/）“开标大厅”</w:t>
      </w:r>
      <w:r/>
    </w:p>
    <w:p>
      <w:pPr>
        <w:pStyle w:val="1028"/>
        <w:spacing w:before="0" w:after="0" w:line="360" w:lineRule="auto"/>
        <w:rPr>
          <w:rFonts w:hint="eastAsia" w:ascii="宋体" w:hAnsi="宋体" w:eastAsia="宋体" w:cs="宋体"/>
          <w:bCs w:val="0"/>
          <w:color w:val="000000"/>
          <w:sz w:val="21"/>
          <w:szCs w:val="21"/>
          <w:highlight w:val="none"/>
        </w:rPr>
      </w:pPr>
      <w:r/>
      <w:bookmarkStart w:id="17" w:name="_Toc31874"/>
      <w:r>
        <w:rPr>
          <w:rFonts w:hint="eastAsia" w:ascii="宋体" w:hAnsi="宋体" w:eastAsia="宋体" w:cs="宋体"/>
          <w:bCs w:val="0"/>
          <w:color w:val="000000"/>
          <w:sz w:val="21"/>
          <w:szCs w:val="21"/>
          <w:highlight w:val="none"/>
        </w:rPr>
        <w:t xml:space="preserve">六、公告期限</w:t>
      </w:r>
      <w:bookmarkEnd w:id="16"/>
      <w:r/>
      <w:bookmarkEnd w:id="17"/>
      <w:r/>
      <w:r/>
    </w:p>
    <w:p>
      <w:pPr>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自本公告发布之日起5个工作日。</w:t>
      </w:r>
      <w:r/>
    </w:p>
    <w:p>
      <w:pPr>
        <w:pStyle w:val="1028"/>
        <w:spacing w:before="0" w:after="0" w:line="360" w:lineRule="auto"/>
        <w:rPr>
          <w:rFonts w:hint="eastAsia" w:ascii="宋体" w:hAnsi="宋体" w:eastAsia="宋体" w:cs="宋体"/>
          <w:color w:val="000000"/>
          <w:sz w:val="21"/>
          <w:szCs w:val="21"/>
          <w:highlight w:val="none"/>
        </w:rPr>
      </w:pPr>
      <w:r/>
      <w:bookmarkStart w:id="18" w:name="_Toc24056"/>
      <w:r/>
      <w:bookmarkStart w:id="19" w:name="_Toc109304969"/>
      <w:r>
        <w:rPr>
          <w:rFonts w:hint="eastAsia" w:ascii="宋体" w:hAnsi="宋体" w:eastAsia="宋体" w:cs="宋体"/>
          <w:color w:val="000000"/>
          <w:sz w:val="21"/>
          <w:szCs w:val="21"/>
          <w:highlight w:val="none"/>
        </w:rPr>
        <w:t xml:space="preserve">七、其他补充事宜</w:t>
      </w:r>
      <w:bookmarkEnd w:id="18"/>
      <w:r/>
      <w:bookmarkEnd w:id="19"/>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p>
    <w:p>
      <w:pPr>
        <w:pStyle w:val="1028"/>
        <w:spacing w:before="0" w:after="0" w:line="360" w:lineRule="auto"/>
        <w:rPr>
          <w:rFonts w:hint="eastAsia" w:ascii="宋体" w:hAnsi="宋体" w:eastAsia="宋体" w:cs="宋体"/>
          <w:bCs w:val="0"/>
          <w:color w:val="000000"/>
          <w:sz w:val="21"/>
          <w:szCs w:val="21"/>
          <w:highlight w:val="none"/>
        </w:rPr>
      </w:pPr>
      <w:r/>
      <w:bookmarkStart w:id="20" w:name="_Toc109304970"/>
      <w:r/>
      <w:bookmarkStart w:id="21" w:name="_Toc24673"/>
      <w:r>
        <w:rPr>
          <w:rFonts w:hint="eastAsia" w:ascii="宋体" w:hAnsi="宋体" w:eastAsia="宋体" w:cs="宋体"/>
          <w:bCs w:val="0"/>
          <w:color w:val="000000"/>
          <w:sz w:val="21"/>
          <w:szCs w:val="21"/>
          <w:highlight w:val="none"/>
        </w:rPr>
        <w:t xml:space="preserve">八、本次竞争性磋商联系方式</w:t>
      </w:r>
      <w:bookmarkEnd w:id="20"/>
      <w:r/>
      <w:bookmarkEnd w:id="21"/>
      <w:r/>
      <w:r/>
    </w:p>
    <w:p>
      <w:pPr>
        <w:pStyle w:val="1045"/>
        <w:ind w:firstLine="40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p>
    <w:p>
      <w:pPr>
        <w:ind w:firstLine="42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cs="宋体"/>
          <w:color w:val="000000"/>
          <w:sz w:val="21"/>
          <w:szCs w:val="21"/>
          <w:highlight w:val="none"/>
          <w:u w:val="single"/>
          <w:lang w:eastAsia="zh-CN"/>
        </w:rPr>
        <w:t xml:space="preserve">扬州市江都区环境卫生管理处</w:t>
      </w:r>
      <w:r/>
    </w:p>
    <w:p>
      <w:pPr>
        <w:ind w:firstLine="42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扬州市江都区</w:t>
      </w:r>
      <w:r/>
    </w:p>
    <w:p>
      <w:pPr>
        <w:ind w:firstLine="420"/>
        <w:jc w:val="left"/>
        <w:spacing w:line="360" w:lineRule="auto"/>
        <w:rPr>
          <w:rFonts w:hint="eastAsia"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u w:val="none"/>
          <w:lang w:val="en-US" w:eastAsia="zh-CN"/>
        </w:rPr>
        <w:t xml:space="preserve">联系人：</w:t>
      </w:r>
      <w:r>
        <w:rPr>
          <w:rFonts w:hint="eastAsia" w:ascii="宋体" w:hAnsi="宋体" w:cs="宋体"/>
          <w:color w:val="000000"/>
          <w:sz w:val="21"/>
          <w:szCs w:val="21"/>
          <w:highlight w:val="none"/>
          <w:u w:val="single"/>
          <w:lang w:val="en-US" w:eastAsia="zh-CN"/>
        </w:rPr>
        <w:t xml:space="preserve">陈主任</w:t>
      </w:r>
      <w:r/>
    </w:p>
    <w:p>
      <w:pPr>
        <w:ind w:firstLine="420"/>
        <w:jc w:val="left"/>
        <w:spacing w:line="360" w:lineRule="auto"/>
        <w:rPr>
          <w:rFonts w:hint="default" w:ascii="宋体" w:hAnsi="宋体" w:cs="宋体"/>
          <w:color w:val="000000"/>
          <w:sz w:val="21"/>
          <w:szCs w:val="21"/>
          <w:highlight w:val="none"/>
          <w:u w:val="single"/>
          <w:lang w:val="en-US" w:eastAsia="zh-CN"/>
        </w:rPr>
      </w:pPr>
      <w:r>
        <w:rPr>
          <w:rFonts w:hint="eastAsia" w:ascii="宋体" w:hAnsi="宋体" w:cs="宋体"/>
          <w:color w:val="000000"/>
          <w:sz w:val="21"/>
          <w:szCs w:val="21"/>
          <w:highlight w:val="none"/>
          <w:u w:val="none"/>
          <w:lang w:val="en-US" w:eastAsia="zh-CN"/>
        </w:rPr>
        <w:t xml:space="preserve">联系方式：13773372888</w:t>
      </w:r>
      <w:r/>
    </w:p>
    <w:p>
      <w:pPr>
        <w:pStyle w:val="1045"/>
        <w:ind w:firstLine="40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2.采购代理机构信息</w:t>
      </w:r>
      <w:r/>
    </w:p>
    <w:p>
      <w:pPr>
        <w:pStyle w:val="1045"/>
        <w:ind w:firstLine="40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称：苏合邦筑工程咨询集团股份有限公司</w:t>
      </w:r>
      <w:r/>
    </w:p>
    <w:p>
      <w:pPr>
        <w:pStyle w:val="1045"/>
        <w:ind w:firstLine="40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址：浦江路439号园林大厦5楼</w:t>
      </w:r>
      <w:r/>
    </w:p>
    <w:p>
      <w:pPr>
        <w:pStyle w:val="1045"/>
        <w:ind w:firstLine="40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联系方式：0514-80335676</w:t>
      </w:r>
      <w:r/>
    </w:p>
    <w:p>
      <w:pPr>
        <w:pStyle w:val="1045"/>
        <w:ind w:firstLine="40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邮    箱：531356327@qq.com</w:t>
      </w:r>
      <w:r/>
    </w:p>
    <w:p>
      <w:pPr>
        <w:pStyle w:val="1045"/>
        <w:spacing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九</w:t>
      </w:r>
      <w:r>
        <w:rPr>
          <w:rFonts w:hint="eastAsia" w:ascii="宋体" w:hAnsi="宋体" w:eastAsia="宋体" w:cs="宋体"/>
          <w:b w:val="0"/>
          <w:bCs/>
          <w:color w:val="000000"/>
          <w:sz w:val="21"/>
          <w:szCs w:val="21"/>
          <w:highlight w:val="none"/>
          <w:lang w:val="en-US" w:eastAsia="zh-CN" w:bidi="ar-SA"/>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28"/>
        <w:spacing w:before="0" w:after="0" w:line="360" w:lineRule="auto"/>
        <w:rPr>
          <w:rFonts w:hint="eastAsia" w:ascii="宋体" w:hAnsi="宋体" w:eastAsia="宋体" w:cs="宋体"/>
          <w:b w:val="0"/>
          <w:bCs/>
          <w:color w:val="000000"/>
          <w:sz w:val="21"/>
          <w:szCs w:val="21"/>
          <w:highlight w:val="none"/>
        </w:rPr>
      </w:pPr>
      <w:r/>
      <w:bookmarkStart w:id="22" w:name="_Toc30711"/>
      <w:r/>
      <w:bookmarkStart w:id="23" w:name="_Toc109304971"/>
      <w:r>
        <w:rPr>
          <w:rFonts w:hint="eastAsia" w:ascii="宋体" w:hAnsi="宋体" w:eastAsia="宋体" w:cs="宋体"/>
          <w:b/>
          <w:bCs w:val="0"/>
          <w:color w:val="000000"/>
          <w:sz w:val="21"/>
          <w:szCs w:val="21"/>
          <w:highlight w:val="none"/>
        </w:rPr>
        <w:t xml:space="preserve">十、其他</w:t>
      </w:r>
      <w:bookmarkEnd w:id="22"/>
      <w:r/>
      <w:bookmarkEnd w:id="23"/>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highlight w:val="none"/>
        </w:rPr>
        <w:t xml:space="preserve">2.供应商如确定参加磋商，可自行下载采购文件及有关资料，按照《操作手册》进行注册，</w:t>
      </w:r>
      <w:r>
        <w:rPr>
          <w:rFonts w:hint="eastAsia" w:ascii="宋体" w:hAnsi="宋体" w:eastAsia="宋体" w:cs="宋体"/>
          <w:b w:val="0"/>
          <w:bCs/>
          <w:color w:val="000000"/>
          <w:sz w:val="21"/>
          <w:szCs w:val="21"/>
          <w:highlight w:val="none"/>
        </w:rPr>
        <w:t xml:space="preserve">领取CA和办理电子签章，并按《操作手册》要求制作、上传电子投标文件，技术支持联系</w:t>
      </w:r>
      <w:r>
        <w:rPr>
          <w:rFonts w:hint="eastAsia" w:ascii="宋体" w:hAnsi="宋体" w:eastAsia="宋体" w:cs="宋体"/>
          <w:b w:val="0"/>
          <w:bCs/>
          <w:color w:val="000000"/>
          <w:spacing w:val="0"/>
          <w:sz w:val="21"/>
          <w:szCs w:val="21"/>
          <w:highlight w:val="none"/>
        </w:rPr>
        <w:t xml:space="preserve">方式：13813140731。</w:t>
      </w:r>
      <w:r/>
    </w:p>
    <w:p>
      <w:pPr>
        <w:ind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4.供应商对于投标产品的包装应按照“财办库〔2020〕123号《关于印发《商品包装政府采购需求标准（试行）》、《快递包装政府采购需求标准（试行）》的通知》”执行。</w:t>
      </w:r>
      <w:r/>
    </w:p>
    <w:p>
      <w:pPr>
        <w:ind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5.落实好政府采购履约资金扶持政策。中标/成交供应商可凭政府采购合同办理融资贷款，详见江苏政府采购网“政采贷”专栏。</w:t>
      </w:r>
      <w:r/>
    </w:p>
    <w:p>
      <w:pPr>
        <w:ind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6.严格执行政府采购关于支持</w:t>
      </w:r>
      <w:r>
        <w:rPr>
          <w:rFonts w:hint="eastAsia" w:ascii="宋体" w:hAnsi="宋体" w:eastAsia="宋体" w:cs="宋体"/>
          <w:b w:val="0"/>
          <w:b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7.潜在供应商对采购文件项目需求部分的询问、质疑请向采购人提出，由采购人负责答复。</w:t>
      </w:r>
      <w:r/>
    </w:p>
    <w:p>
      <w:pPr>
        <w:ind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8.本次采购不收取保证金。</w:t>
      </w:r>
      <w:r/>
    </w:p>
    <w:p>
      <w:pPr>
        <w:ind w:firstLine="420"/>
        <w:jc w:val="left"/>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9.有关本次采购的事项若存在变动或修改，敬请及时关注“扬州市政府采购网”、”江苏省政府采购网”发布的信息。</w:t>
      </w:r>
      <w:r/>
    </w:p>
    <w:p>
      <w:pPr>
        <w:ind w:firstLine="420"/>
        <w:jc w:val="left"/>
        <w:spacing w:line="360" w:lineRule="auto"/>
        <w:rPr>
          <w:rFonts w:hint="eastAsia" w:ascii="宋体" w:hAnsi="宋体" w:eastAsia="宋体" w:cs="宋体"/>
          <w:b w:val="0"/>
          <w:bCs/>
          <w:i/>
          <w:iCs/>
          <w:color w:val="000000"/>
          <w:sz w:val="21"/>
          <w:szCs w:val="21"/>
          <w:highlight w:val="none"/>
          <w:u w:val="single"/>
        </w:rPr>
      </w:pPr>
      <w:r>
        <w:rPr>
          <w:rFonts w:hint="eastAsia" w:ascii="宋体" w:hAnsi="宋体" w:eastAsia="宋体" w:cs="宋体"/>
          <w:b w:val="0"/>
          <w:bCs/>
          <w:color w:val="000000"/>
          <w:sz w:val="21"/>
          <w:szCs w:val="21"/>
          <w:highlight w:val="none"/>
        </w:rPr>
        <w:t xml:space="preserve">10.本项目采购文件中所有斜体下划线部分为实质性条款，如不满足，则为无效响应。</w:t>
      </w:r>
      <w:bookmarkEnd w:id="0"/>
      <w:r/>
      <w:r/>
    </w:p>
    <w:p>
      <w:pPr>
        <w:pStyle w:val="1027"/>
        <w:jc w:val="center"/>
        <w:spacing w:line="360" w:lineRule="auto"/>
        <w:rPr>
          <w:rFonts w:hint="eastAsia" w:ascii="宋体" w:hAnsi="宋体"/>
          <w:color w:val="000000"/>
          <w:highlight w:val="none"/>
        </w:rPr>
      </w:pPr>
      <w:r/>
      <w:bookmarkStart w:id="24" w:name="_Toc23352"/>
      <w:r>
        <w:rPr>
          <w:rFonts w:hint="eastAsia" w:ascii="宋体" w:hAnsi="宋体"/>
          <w:color w:val="000000"/>
          <w:sz w:val="21"/>
          <w:szCs w:val="21"/>
          <w:highlight w:val="none"/>
        </w:rPr>
        <w:br w:type="page" w:clear="all"/>
      </w:r>
      <w:bookmarkStart w:id="25" w:name="_Toc25416"/>
      <w:r>
        <w:rPr>
          <w:rFonts w:hint="eastAsia" w:ascii="宋体" w:hAnsi="宋体"/>
          <w:color w:val="000000"/>
          <w:highlight w:val="none"/>
        </w:rPr>
        <w:t xml:space="preserve">第二章 磋商须知</w:t>
      </w:r>
      <w:bookmarkEnd w:id="24"/>
      <w:r/>
      <w:bookmarkEnd w:id="25"/>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1、采购方式</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1.1本次采购采取竞争性磋商方式，本采购文件仅适用于</w:t>
      </w:r>
      <w:r>
        <w:rPr>
          <w:rFonts w:hint="eastAsia" w:ascii="宋体" w:hAnsi="宋体" w:cs="宋体"/>
          <w:color w:val="000000"/>
          <w:highlight w:val="none"/>
          <w:lang w:eastAsia="zh-CN"/>
        </w:rPr>
        <w:t xml:space="preserve">JSZC-321012-SHBZ-C2025-0022</w:t>
      </w:r>
      <w:r>
        <w:rPr>
          <w:rFonts w:hint="eastAsia" w:ascii="宋体" w:hAnsi="宋体" w:eastAsia="宋体" w:cs="宋体"/>
          <w:color w:val="000000"/>
          <w:highlight w:val="none"/>
        </w:rPr>
        <w:t xml:space="preserve">号项目。</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2.2合格的供应商</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2.2.1满足采购公告中供应商的资格条件要求的规定。</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2.2.2满足本文件实质性条款的规定。</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3、适用法律</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 本次采购及由此产生的合同受中华人民共和国有关的法律法规制约和保护。</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4、参加磋商费用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4.1供应商应自行承担所有与参加磋商有关的费用，无论磋商过程中的做法和结果如何，（</w:t>
      </w:r>
      <w:r>
        <w:rPr>
          <w:rFonts w:hint="eastAsia" w:ascii="宋体" w:hAnsi="宋体" w:eastAsia="宋体" w:cs="宋体"/>
          <w:color w:val="000000"/>
          <w:highlight w:val="none"/>
          <w:lang w:val="en-US" w:eastAsia="zh-CN"/>
        </w:rPr>
        <w:t xml:space="preserve">苏合邦筑工程咨询集团股份有限公司</w:t>
      </w:r>
      <w:r>
        <w:rPr>
          <w:rFonts w:hint="eastAsia" w:ascii="宋体" w:hAnsi="宋体" w:eastAsia="宋体" w:cs="宋体"/>
          <w:color w:val="000000"/>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4.2</w:t>
      </w:r>
      <w:bookmarkStart w:id="26" w:name="_Hlk115095815"/>
      <w:r>
        <w:rPr>
          <w:rFonts w:hint="eastAsia" w:ascii="宋体" w:hAnsi="宋体" w:eastAsia="宋体" w:cs="宋体"/>
          <w:color w:val="000000"/>
          <w:highlight w:val="none"/>
        </w:rPr>
        <w:t xml:space="preserve">本次采购由</w:t>
      </w:r>
      <w:r>
        <w:rPr>
          <w:rFonts w:hint="eastAsia" w:ascii="宋体" w:hAnsi="宋体" w:cs="宋体"/>
          <w:color w:val="000000"/>
          <w:highlight w:val="none"/>
          <w:lang w:val="en-US" w:eastAsia="zh-CN"/>
        </w:rPr>
        <w:t xml:space="preserve">中标人支付招标代理服务费，</w:t>
      </w:r>
      <w:r>
        <w:rPr>
          <w:rFonts w:hint="eastAsia" w:ascii="宋体" w:hAnsi="宋体" w:eastAsia="宋体" w:cs="宋体"/>
          <w:color w:val="000000"/>
          <w:highlight w:val="none"/>
          <w:lang w:val="en-US" w:eastAsia="zh-CN"/>
        </w:rPr>
        <w:t xml:space="preserve">按照苏招协【2022】2号标准收取</w:t>
      </w:r>
      <w:r>
        <w:rPr>
          <w:rFonts w:hint="eastAsia" w:ascii="宋体" w:hAnsi="宋体" w:eastAsia="宋体" w:cs="宋体"/>
          <w:color w:val="000000"/>
          <w:highlight w:val="none"/>
        </w:rPr>
        <w:t xml:space="preserve">招标代理服务费。</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（1）代理服务费以人民币支付；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（2）代理服务费一次性以电汇、转账等非现金形式支付；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（3）招标代理服务费不在磋商报价中单列，包含在磋商总价中，由成交单位支付给代理机构。 </w:t>
      </w:r>
      <w:r/>
    </w:p>
    <w:p>
      <w:pPr>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代理单位名称：苏合邦筑工程咨询集团股份有限公司江都分公司</w:t>
      </w:r>
      <w:r/>
    </w:p>
    <w:p>
      <w:pPr>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税        号：91321012MA21U2RM24</w:t>
      </w:r>
      <w:r/>
    </w:p>
    <w:p>
      <w:pPr>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开   户   行：中国银行股份有限公司扬州新都路支行</w:t>
      </w:r>
      <w:r/>
    </w:p>
    <w:p>
      <w:pPr>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行        号：104312501045</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账        号：549575531937</w:t>
      </w:r>
      <w:r>
        <w:rPr>
          <w:rFonts w:hint="eastAsia" w:ascii="宋体" w:hAnsi="宋体" w:eastAsia="宋体" w:cs="宋体"/>
          <w:color w:val="000000"/>
          <w:highlight w:val="none"/>
        </w:rPr>
        <w:t xml:space="preserve">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4.3专家评审费按扬财购【2020】40号文《关于进一步规范扬州市政府采购专家评审费标准的通知》执行。</w:t>
      </w:r>
      <w:bookmarkEnd w:id="26"/>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5、采购文件的约束力</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5.1供应商一旦参加本项目采购活动，即被认为接受了本采购文件的规定和约束。</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6、采购文件构成</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6.1采购文件有以下部分组成：</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（1）采购公告</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（2）磋商须知</w:t>
      </w:r>
      <w:r>
        <w:rPr>
          <w:rFonts w:hint="eastAsia" w:ascii="宋体" w:hAnsi="宋体" w:eastAsia="宋体" w:cs="宋体"/>
          <w:color w:val="000000"/>
          <w:highlight w:val="none"/>
        </w:rPr>
        <w:tab/>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（3）合同条款及格式</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（4）项目需求</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（5）评审方法与评审标准</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（6）竞争性磋商响应文件格式</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7、采购文件的澄清</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8、采购文件的修改</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8.2采购文件的修改将在“扬州市政府采购网”、“江苏省政府采购网”公布，补充文件将作为采购文件的组成部分，并对供应商具有约束力。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9、采购文件的语言、度量衡单位、货币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9.2除技术性能另有规定外，采购文件所使用的度量衡单位，均须采用国家法定计量单位。</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10、响应文件构成</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10.1磋商文件由以下部分组成</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（1）资格审查响应对照表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（2）符合性审查响应对照表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（3）非实质性响应对照表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（4）磋商响应报价表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（5）分项报价表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（6）技术参数响应及偏离表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（7）商务条款响应及偏离表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（8）设计方案（如有）：如未成功上传“设计投标文件”，投标单位需将电子投标光盘（设计图纸光盘密封并注明供应商单位名称）递交至代理机构（地址），招标代理单位将派工作人员在</w:t>
      </w:r>
      <w:r>
        <w:rPr>
          <w:rFonts w:hint="eastAsia" w:ascii="宋体" w:hAnsi="宋体" w:cs="宋体"/>
          <w:color w:val="000000"/>
          <w:highlight w:val="none"/>
          <w:lang w:eastAsia="zh-CN"/>
        </w:rPr>
        <w:t xml:space="preserve">2026</w:t>
      </w:r>
      <w:r>
        <w:rPr>
          <w:rFonts w:hint="eastAsia" w:ascii="宋体" w:hAnsi="宋体" w:eastAsia="宋体" w:cs="宋体"/>
          <w:color w:val="000000"/>
          <w:highlight w:val="none"/>
          <w:lang w:eastAsia="zh-CN"/>
        </w:rPr>
        <w:t xml:space="preserve">年</w:t>
      </w:r>
      <w:r>
        <w:rPr>
          <w:rFonts w:hint="eastAsia" w:ascii="宋体" w:hAnsi="宋体" w:cs="宋体"/>
          <w:color w:val="000000"/>
          <w:highlight w:val="none"/>
          <w:lang w:eastAsia="zh-CN"/>
        </w:rPr>
        <w:t xml:space="preserve">01月13日</w:t>
      </w:r>
      <w:r>
        <w:rPr>
          <w:rFonts w:hint="eastAsia" w:ascii="宋体" w:hAnsi="宋体" w:eastAsia="宋体" w:cs="宋体"/>
          <w:color w:val="000000"/>
          <w:highlight w:val="none"/>
        </w:rPr>
        <w:t xml:space="preserve">9点30分时间内接收电子投标光盘。将电子投标光盘递交至招标代理工作人员处，逾期不予接收。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（9）其他（供应商认为有必要提供的声明和文件，如有自拟并自行添加。设计方案）</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11、证明供应商资格及符合采购文件规定的文件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12、磋商响应报价表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12.2标的物</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采购人需求的服务供应、安装，调试及有关技术服务等。</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采购文件未列明，而供应商认为必需的费用也需列入报价。</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13、技术参数响应及偏离表、商务条款响应及偏离表及磋商服务说明</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13.1对采购文件中的技术与商务条款要求逐项作出响应或偏离，并说明原因；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13.2提供参加本项目类似案例简介；</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13.3详细阐述所投服务的主要组成部分、功能设计、实现思路及关键技术；</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供应商认为需要的其他技术文件或说明。</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14、服务承诺及售后服务机构、人员的情况介绍</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14.1供应商的服务承诺应按不低于采购文件中商务要求的标准。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15、磋商响应函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15.1供应商应按照扬州市政府采购交易管理系统提供的格式完整、正确填写磋商响应函。</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16、磋商响应有效期</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16.1磋商响应有效期为代理机构规定的响应文件接收截止时间后</w:t>
      </w:r>
      <w:r>
        <w:rPr>
          <w:rFonts w:hint="eastAsia" w:ascii="宋体" w:hAnsi="宋体" w:eastAsia="宋体" w:cs="宋体"/>
          <w:b/>
          <w:bCs/>
          <w:color w:val="000000"/>
          <w:sz w:val="21"/>
          <w:szCs w:val="21"/>
          <w:highlight w:val="none"/>
          <w:u w:val="single"/>
        </w:rPr>
        <w:t xml:space="preserve">六十（60）天</w:t>
      </w:r>
      <w:r>
        <w:rPr>
          <w:rFonts w:hint="eastAsia" w:ascii="宋体" w:hAnsi="宋体" w:eastAsia="宋体" w:cs="宋体"/>
          <w:color w:val="000000"/>
          <w:sz w:val="21"/>
          <w:szCs w:val="21"/>
          <w:highlight w:val="none"/>
        </w:rPr>
        <w:t xml:space="preserve">。磋商响应有效期比规定短的将被视为非实质性响应性而予以拒绝。</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b/>
          <w:bCs/>
          <w:color w:val="000000"/>
          <w:highlight w:val="none"/>
        </w:rPr>
      </w:pPr>
      <w:r/>
      <w:bookmarkStart w:id="27" w:name="_Toc20823297"/>
      <w:r/>
      <w:bookmarkStart w:id="28" w:name="_Toc16938541"/>
      <w:r>
        <w:rPr>
          <w:rFonts w:hint="eastAsia" w:ascii="宋体" w:hAnsi="宋体" w:eastAsia="宋体" w:cs="宋体"/>
          <w:b/>
          <w:bCs/>
          <w:color w:val="000000"/>
          <w:highlight w:val="none"/>
        </w:rPr>
        <w:t xml:space="preserve">17、响应文件</w:t>
      </w:r>
      <w:bookmarkEnd w:id="27"/>
      <w:r/>
      <w:bookmarkEnd w:id="28"/>
      <w:r>
        <w:rPr>
          <w:rFonts w:hint="eastAsia" w:ascii="宋体" w:hAnsi="宋体" w:eastAsia="宋体" w:cs="宋体"/>
          <w:b/>
          <w:bCs/>
          <w:color w:val="000000"/>
          <w:highlight w:val="none"/>
        </w:rPr>
        <w:t xml:space="preserve">的递交</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17.1电子响应文件的递交供应商应当按照《操作手册》规定，在磋商响应截止时间前制作并上传电子响应文件。</w:t>
      </w:r>
      <w:bookmarkStart w:id="29" w:name="_Toc16938542"/>
      <w:r/>
      <w:bookmarkStart w:id="30" w:name="_Toc20823298"/>
      <w:r/>
      <w:r/>
    </w:p>
    <w:p>
      <w:pPr>
        <w:ind w:firstLine="42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17.2政府采购管理交易系统（苏采云）相关要求是本采购文件的组成部分。</w:t>
      </w:r>
      <w:r/>
    </w:p>
    <w:p>
      <w:pPr>
        <w:ind w:firstLine="42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17.5供应商应对要求提供的资格证明文件（如资质证书、资格证书）、技术资料（如白皮书、彩页、手册、检测报告等）原件扫描上传至投标系统。</w:t>
      </w:r>
      <w:r/>
    </w:p>
    <w:p>
      <w:pPr>
        <w:ind w:firstLine="42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17.6各供应商应在规定时间内凭CA证书进行网上解密。</w:t>
      </w:r>
      <w:r/>
    </w:p>
    <w:p>
      <w:pPr>
        <w:ind w:firstLine="422"/>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18、磋商响应截止日期</w:t>
      </w:r>
      <w:bookmarkEnd w:id="29"/>
      <w:r/>
      <w:bookmarkEnd w:id="30"/>
      <w:r/>
      <w:r/>
    </w:p>
    <w:p>
      <w:pPr>
        <w:ind w:firstLine="420"/>
        <w:spacing w:line="360" w:lineRule="auto"/>
        <w:rPr>
          <w:rFonts w:hint="eastAsia" w:ascii="宋体" w:hAnsi="宋体" w:eastAsia="宋体" w:cs="宋体"/>
          <w:bCs/>
          <w:i/>
          <w:color w:val="000000"/>
          <w:sz w:val="21"/>
          <w:szCs w:val="21"/>
          <w:highlight w:val="none"/>
          <w:u w:val="single"/>
        </w:rPr>
      </w:pPr>
      <w:r>
        <w:rPr>
          <w:rFonts w:hint="eastAsia" w:ascii="宋体" w:hAnsi="宋体" w:eastAsia="宋体" w:cs="宋体"/>
          <w:i/>
          <w:color w:val="000000"/>
          <w:sz w:val="21"/>
          <w:szCs w:val="21"/>
          <w:highlight w:val="none"/>
          <w:u w:val="single"/>
        </w:rPr>
        <w:t xml:space="preserve">18.1</w:t>
      </w:r>
      <w:r>
        <w:rPr>
          <w:rFonts w:hint="eastAsia" w:ascii="宋体" w:hAnsi="宋体" w:eastAsia="宋体" w:cs="宋体"/>
          <w:bCs/>
          <w:i/>
          <w:color w:val="000000"/>
          <w:sz w:val="21"/>
          <w:szCs w:val="21"/>
          <w:highlight w:val="none"/>
          <w:u w:val="single"/>
        </w:rPr>
        <w:t xml:space="preserve">供应商上传电子响应文件的时间不得迟于采购公告中规定的磋商响应截止时间。</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b/>
          <w:bCs/>
          <w:color w:val="000000"/>
          <w:highlight w:val="none"/>
        </w:rPr>
      </w:pPr>
      <w:r/>
      <w:bookmarkStart w:id="31" w:name="_Toc20823299"/>
      <w:r/>
      <w:bookmarkStart w:id="32" w:name="_Toc16938543"/>
      <w:r>
        <w:rPr>
          <w:rFonts w:hint="eastAsia" w:ascii="宋体" w:hAnsi="宋体" w:eastAsia="宋体" w:cs="宋体"/>
          <w:b/>
          <w:bCs/>
          <w:color w:val="000000"/>
          <w:highlight w:val="none"/>
        </w:rPr>
        <w:t xml:space="preserve">19、响应文件</w:t>
      </w:r>
      <w:bookmarkEnd w:id="31"/>
      <w:r/>
      <w:bookmarkEnd w:id="32"/>
      <w:r>
        <w:rPr>
          <w:rFonts w:hint="eastAsia" w:ascii="宋体" w:hAnsi="宋体" w:eastAsia="宋体" w:cs="宋体"/>
          <w:b/>
          <w:bCs/>
          <w:color w:val="000000"/>
          <w:highlight w:val="none"/>
        </w:rPr>
        <w:t xml:space="preserve">的拒收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19.1代理机构拒绝接收在其规定的磋商截止时间后上传的任何响应文件。</w:t>
      </w:r>
      <w:r/>
    </w:p>
    <w:p>
      <w:pPr>
        <w:ind w:firstLine="420"/>
        <w:spacing w:line="360" w:lineRule="auto"/>
        <w:rPr>
          <w:rFonts w:hint="eastAsia" w:ascii="宋体" w:hAnsi="宋体" w:eastAsia="宋体" w:cs="宋体"/>
          <w:b/>
          <w:bCs/>
          <w:color w:val="000000"/>
          <w:highlight w:val="none"/>
        </w:rPr>
      </w:pPr>
      <w:r/>
      <w:bookmarkStart w:id="33" w:name="_Toc16938544"/>
      <w:r/>
      <w:bookmarkStart w:id="34" w:name="_Toc20823300"/>
      <w:r>
        <w:rPr>
          <w:rFonts w:hint="eastAsia" w:ascii="宋体" w:hAnsi="宋体" w:eastAsia="宋体" w:cs="宋体"/>
          <w:b/>
          <w:bCs/>
          <w:color w:val="000000"/>
          <w:highlight w:val="none"/>
        </w:rPr>
        <w:t xml:space="preserve">20、响应文件的撤回和修改</w:t>
      </w:r>
      <w:bookmarkEnd w:id="33"/>
      <w:r/>
      <w:bookmarkEnd w:id="34"/>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20.1响应文件的撤回</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20.1.1电子响应文件的撤回</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20.1.2供应商撤回电子响应文件，则认为其不再参与本项目磋商谈判。</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20.2响应文件的修改</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20.3在磋商截止时间之后，供应商不得对其电子响应文件作任何修改。</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20.4在磋商截止时间至采购文件中规定的磋商有效期满之间的这段时间内，供应商不得撤回其响应文件。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21、磋商</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21.2供应商在磋商过程中涉及到的响应文件解密等工作，应按照《操作手册》规定执行。</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22、磋商小组</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22.1磋商开始后，代理机构将立即组织磋商小组进行评审。</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22.3磋商小组独立工作，负责评审有效响应文件并确定成交候选供应商。</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23、评审过程的保密与公正</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23.3在评审期间，代理机构将设专门工作人员与供应商联系。</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23.4代理机构和磋商小组不向未成交的供应商解释未成交原因，也不公布评审过程中的相关细节。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24、磋商的澄清</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24.2接到磋商小组澄清要求的供应商应按磋商小组规定的时间和格式在</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color w:val="000000"/>
          <w:highlight w:val="none"/>
        </w:rPr>
        <w:t xml:space="preserve">中做出澄清，澄清的内容作为响应文件的补充部分。具体操作方式见</w:t>
      </w:r>
      <w:r>
        <w:rPr>
          <w:rFonts w:hint="eastAsia" w:ascii="宋体" w:hAnsi="宋体" w:eastAsia="宋体" w:cs="宋体"/>
          <w:bCs/>
          <w:color w:val="000000"/>
          <w:highlight w:val="none"/>
        </w:rPr>
        <w:t xml:space="preserve">《操作手册》</w:t>
      </w:r>
      <w:r>
        <w:rPr>
          <w:rFonts w:hint="eastAsia" w:ascii="宋体" w:hAnsi="宋体" w:eastAsia="宋体" w:cs="宋体"/>
          <w:color w:val="000000"/>
          <w:highlight w:val="none"/>
        </w:rPr>
        <w:t xml:space="preserve">。</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24.3接到磋商小组澄清要求的供应商如未按规定做出澄清，其风险由供应商自行承担。</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25、对响应文件的初审</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25.1响应文件初审分为资格审查和符合性审查。</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25.1.3 未通过资格审查或符合性审查的供应商，代理机构将在</w:t>
      </w:r>
      <w:r>
        <w:rPr>
          <w:rFonts w:hint="eastAsia" w:ascii="宋体" w:hAnsi="宋体" w:eastAsia="宋体" w:cs="宋体"/>
          <w:color w:val="000000"/>
          <w:highlight w:val="none"/>
          <w:lang w:eastAsia="zh-CN"/>
        </w:rPr>
        <w:t xml:space="preserve">“</w:t>
      </w:r>
      <w:r>
        <w:rPr>
          <w:rFonts w:hint="eastAsia" w:ascii="宋体" w:hAnsi="宋体" w:eastAsia="宋体" w:cs="宋体"/>
          <w:b/>
          <w:bCs/>
          <w:color w:val="000000"/>
          <w:highlight w:val="none"/>
        </w:rPr>
        <w:t xml:space="preserve">政府采购管理交易系统（苏采云）”</w:t>
      </w:r>
      <w:r>
        <w:rPr>
          <w:rFonts w:hint="eastAsia" w:ascii="宋体" w:hAnsi="宋体" w:eastAsia="宋体" w:cs="宋体"/>
          <w:color w:val="000000"/>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26、磋商程序及评审方法和标准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26.1磋商程序</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26.1.1对于通过资格性和符合性审查的供应商，磋商小组所有成员将集中与单一供应商在“</w:t>
      </w:r>
      <w:r>
        <w:rPr>
          <w:rFonts w:hint="eastAsia" w:ascii="宋体" w:hAnsi="宋体" w:eastAsia="宋体" w:cs="宋体"/>
          <w:b w:val="0"/>
          <w:bCs w:val="0"/>
          <w:color w:val="000000"/>
          <w:highlight w:val="none"/>
          <w:shd w:val="clear" w:color="ffffff" w:fill="ffffff"/>
        </w:rPr>
        <w:t xml:space="preserve">政府采购管理交易系统（苏采云）</w:t>
      </w:r>
      <w:r>
        <w:rPr>
          <w:rFonts w:hint="eastAsia" w:ascii="宋体" w:hAnsi="宋体" w:eastAsia="宋体" w:cs="宋体"/>
          <w:b w:val="0"/>
          <w:bCs w:val="0"/>
          <w:color w:val="000000"/>
          <w:highlight w:val="none"/>
        </w:rPr>
        <w:t xml:space="preserve">”中分别进行磋商。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26.1.2采购文件能够详细列明采购标的的技术、服务要求的，磋商结束后，磋商小组将要求所有实质性响应的供应商在规定时间内提交最后报价。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 评审方法和标准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26.2.2评审标准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见本采购文件第五章规定。</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27、无效响应及采购活动终止的情况</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27.1无效响应条款</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27.1.1供应商未按照采购文件要求上传电子磋商响应文件的。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27.1.2供应商未成功解密电子磋商响应文件的。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27.1.3供应商不具备采购文件中规定资格要求的。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27.1.4未通过符合性审查的。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27.1.5不符合采购文件中规定的其他实质性要求和条件的（本采购文件中斜体且有下划线部分为实质性要求和条件）。</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27.1.8响应文件未按照采购文件要求加盖电子签章。</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27.1.9其他法律、法规及本采购文件规定的属无效响应的情形。</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27.2 采购活动终止的情况：</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27.2.1因情况变化，不再符合规定的竞争性磋商采购方式适用情形的；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27.2.2出现影响采购公正的违法、违规行为的；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27.2.3除本磋商文件第26.1.2条第三款规定的情形外，在采购过程中符合要求的供应商或者报价未超过采购预算的供应商不足3家的。</w:t>
      </w:r>
      <w:bookmarkStart w:id="63" w:name="_GoBack"/>
      <w:r/>
      <w:bookmarkEnd w:id="63"/>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27.2.4因重大变故，采购任务取消的。</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28、确定成交单位</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28.2采购人应根据磋商推荐的成交候选人，按照排序由高到低的原件确定成交供应商。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28.3代理机构将在“扬州市政府采购网”、”江苏省政府采购网”发布成交公告，公告期限为1个工作日。</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28.4若有充分证据证明，成交供应商出现下列情况之一的，一经查实，将被取消成交资格：</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28.4.1提供虚假材料谋取成交的；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28.4.2向采购人、代理机构行贿或者提供其他不正当利益的；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28.4.3恶意竞争，最终总报价明显低于其自身合理成本且又无法提供证明的；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28.4.4属于本文件规定的无效条件，但在评审过程中又未被磋商小组发现的；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28.4.5与采购人或者其他供应商恶意串通的；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28.4.6采取不正当手段诋毁、排挤其他供应商的；</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28.4.7不符合法律、法规的规定的。</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29、质疑处理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29.1提出质疑的供应商应当是参与所质疑项目采购活动</w:t>
      </w:r>
      <w:r>
        <w:rPr>
          <w:rFonts w:hint="eastAsia" w:ascii="宋体" w:hAnsi="宋体" w:cs="宋体"/>
          <w:b w:val="0"/>
          <w:bCs w:val="0"/>
          <w:color w:val="000000"/>
          <w:highlight w:val="none"/>
          <w:lang w:val="en-US" w:eastAsia="zh-CN"/>
        </w:rPr>
        <w:t xml:space="preserve">且满足采购活动相关资质要求</w:t>
      </w:r>
      <w:r>
        <w:rPr>
          <w:rFonts w:hint="eastAsia" w:ascii="宋体" w:hAnsi="宋体" w:eastAsia="宋体" w:cs="宋体"/>
          <w:b w:val="0"/>
          <w:bCs w:val="0"/>
          <w:color w:val="000000"/>
          <w:highlight w:val="none"/>
        </w:rPr>
        <w:t xml:space="preserve">的供应商。潜在供应商依法获取其可质疑的采购文件的，可以对采购文件提出质疑。</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对项目需求部分的质疑，潜在供应商应向采购人提出，由采购人负责答复。</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29.2.1对采购文件提出质疑的，应当在获取采购文件之日或者采购文件公告期限届满之日起7个工作日内提出。</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29.2.2对采购过程提出质疑的，为各采购程序环节结束之日起7个工作日内提出。</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29.2.3对成交结果提出质疑的，为成交结果公告期限届满之日起7个工作日内提出。</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29.5代理机构及采购人只接收以纸质原件形式送达的质疑。</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采购人质疑接收人及联系方式见采购文件第一章。</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29.6代理机构收到质疑申请后，将对质疑的形式和内容进行审查，如质疑内容、格式不符合规定，代理机构将告知质疑人进行补正。</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29.7质疑人应当在法定质疑期限内进行补正并重新提交质疑函。</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29.8以下情形的质疑不予受理</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29.8.1内容不符合《政府采购质疑和投诉办法》第十二条规定的质疑。</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29.8.2超出政府采购法定期限的质疑。</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29.8.3以传真、电子邮件等方式递交的非原件形式的质疑。</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29.8.4未参加磋商活动的供应商或在磋商活动中自身权益未受到损害的供应商所提出的质疑。</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29.8.5供应商组成联合体参加磋商，联合体中任何一方或多方未按要求签字、盖章、加盖公章的质疑。</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30、成交通知书</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30.l成交结果确定后，代理机构将向成交供应商发出成通知书。</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30.2成交供应商可在”扬州市政府采购交易管理系统（苏采云）”成交通知书下载模块中自行下载成交通知书。</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31、签订合同</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31.l成交供应商应在成交通知书发出之日起十五日内，按照采购文件确定的事项与采购人签订政府采购合同。</w:t>
      </w:r>
      <w:r/>
    </w:p>
    <w:p>
      <w:pPr>
        <w:ind w:firstLine="42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w:t>
      </w:r>
      <w:r>
        <w:rPr>
          <w:rFonts w:hint="eastAsia" w:ascii="宋体" w:hAnsi="宋体"/>
          <w:bCs/>
          <w:color w:val="000000"/>
          <w:szCs w:val="21"/>
          <w:highlight w:val="none"/>
        </w:rPr>
        <w:t xml:space="preserve">3合同在“政府采购管理交易系统（苏采云）”中签订，签订合同后，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w:t>
      </w:r>
      <w:r>
        <w:rPr>
          <w:rFonts w:hint="eastAsia" w:ascii="宋体" w:hAnsi="宋体" w:eastAsia="宋体" w:cs="宋体"/>
          <w:b w:val="0"/>
          <w:bCs w:val="0"/>
          <w:color w:val="000000"/>
          <w:highlight w:val="none"/>
        </w:rPr>
        <w:t xml:space="preserve">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32、其他</w:t>
      </w:r>
      <w:r/>
    </w:p>
    <w:p>
      <w:pPr>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32.1依据《政府采购促进中小企业发展管理办法》享受扶持政策获得政府采购合同的，小微企业不得将合同分包给大中型企业，中型企业不得将合同分包给大型企业。</w:t>
      </w:r>
      <w:r/>
    </w:p>
    <w:p>
      <w:pPr>
        <w:spacing w:line="360" w:lineRule="auto"/>
        <w:rPr>
          <w:color w:val="000000"/>
          <w:highlight w:val="none"/>
        </w:rPr>
      </w:pPr>
      <w:r>
        <w:rPr>
          <w:color w:val="000000"/>
          <w:highlight w:val="none"/>
        </w:rPr>
        <w:br w:type="page" w:clear="all"/>
      </w:r>
      <w:r/>
    </w:p>
    <w:p>
      <w:pPr>
        <w:pStyle w:val="1027"/>
        <w:jc w:val="center"/>
        <w:spacing w:line="360" w:lineRule="auto"/>
        <w:rPr>
          <w:rFonts w:hint="eastAsia" w:ascii="宋体" w:hAnsi="宋体"/>
          <w:color w:val="000000"/>
          <w:highlight w:val="none"/>
        </w:rPr>
      </w:pPr>
      <w:r/>
      <w:bookmarkStart w:id="35" w:name="_Toc24601"/>
      <w:r/>
      <w:bookmarkStart w:id="36" w:name="_Toc11480"/>
      <w:r/>
      <w:bookmarkStart w:id="37" w:name="_Toc107582398"/>
      <w:r>
        <w:rPr>
          <w:rFonts w:hint="eastAsia" w:ascii="宋体" w:hAnsi="宋体"/>
          <w:color w:val="000000"/>
          <w:highlight w:val="none"/>
        </w:rPr>
        <w:t xml:space="preserve">第三章 合同条款及格式</w:t>
      </w:r>
      <w:bookmarkEnd w:id="35"/>
      <w:r/>
      <w:bookmarkEnd w:id="36"/>
      <w:r/>
      <w:bookmarkEnd w:id="37"/>
      <w:r/>
      <w:r/>
    </w:p>
    <w:p>
      <w:pPr>
        <w:ind w:firstLine="400"/>
        <w:jc w:val="both"/>
        <w:spacing w:line="360" w:lineRule="auto"/>
        <w:widowControl w:val="off"/>
        <w:rPr>
          <w:rFonts w:hint="eastAsia" w:ascii="宋体" w:hAnsi="宋体" w:eastAsia="宋体" w:cs="宋体"/>
          <w:color w:val="000000"/>
          <w:sz w:val="21"/>
          <w:szCs w:val="21"/>
          <w:highlight w:val="none"/>
          <w:u w:val="single"/>
          <w:lang w:val="en-US" w:eastAsia="zh-CN" w:bidi="ar-SA"/>
        </w:rPr>
      </w:pPr>
      <w:r/>
      <w:bookmarkStart w:id="38" w:name="_Toc32629"/>
      <w:r/>
      <w:bookmarkStart w:id="39" w:name="_Toc16315"/>
      <w:r>
        <w:rPr>
          <w:rFonts w:hint="eastAsia" w:ascii="宋体" w:hAnsi="宋体" w:eastAsia="宋体" w:cs="宋体"/>
          <w:bCs/>
          <w:color w:val="000000"/>
          <w:sz w:val="21"/>
          <w:szCs w:val="21"/>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jc w:val="center"/>
        <w:spacing w:before="120" w:after="120" w:line="360" w:lineRule="auto"/>
        <w:rPr>
          <w:rFonts w:hint="eastAsia" w:ascii="仿宋" w:hAnsi="仿宋" w:eastAsia="仿宋" w:cs="仿宋"/>
          <w:sz w:val="21"/>
          <w:szCs w:val="21"/>
          <w:highlight w:val="none"/>
          <w:u w:val="none"/>
          <w:lang w:val="en-US" w:eastAsia="zh-CN"/>
        </w:rPr>
      </w:pPr>
      <w:r>
        <w:rPr>
          <w:rFonts w:hint="eastAsia" w:ascii="宋体" w:hAnsi="宋体" w:eastAsia="宋体" w:cs="宋体"/>
          <w:b/>
          <w:bCs/>
          <w:color w:val="000000"/>
          <w:sz w:val="21"/>
          <w:szCs w:val="21"/>
          <w:highlight w:val="none"/>
        </w:rPr>
        <w:t xml:space="preserve">采购合同</w:t>
      </w:r>
      <w:r/>
    </w:p>
    <w:p>
      <w:pPr>
        <w:ind w:left="0"/>
        <w:jc w:val="both"/>
        <w:spacing w:line="36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项目名称：扬州市江都区垃圾填埋场渗滤液处理站运营项目</w:t>
      </w:r>
      <w:r/>
    </w:p>
    <w:p>
      <w:pPr>
        <w:ind w:left="0"/>
        <w:jc w:val="both"/>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 xml:space="preserve">甲方(采购人/买方)：</w:t>
      </w:r>
      <w:r>
        <w:rPr>
          <w:rFonts w:hint="eastAsia" w:ascii="宋体" w:hAnsi="宋体" w:eastAsia="宋体" w:cs="宋体"/>
          <w:sz w:val="21"/>
          <w:szCs w:val="21"/>
          <w:highlight w:val="none"/>
          <w:u w:val="single"/>
          <w:lang w:val="en-US" w:eastAsia="zh-CN"/>
        </w:rPr>
        <w:t xml:space="preserve">扬州市江都区环境卫生管理处</w:t>
      </w:r>
      <w:r/>
    </w:p>
    <w:p>
      <w:pPr>
        <w:ind w:left="0"/>
        <w:jc w:val="both"/>
        <w:spacing w:line="36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 xml:space="preserve">乙方(供应商/卖方)：</w:t>
      </w:r>
      <w:r>
        <w:rPr>
          <w:rFonts w:hint="eastAsia" w:ascii="宋体" w:hAnsi="宋体" w:eastAsia="宋体" w:cs="宋体"/>
          <w:sz w:val="21"/>
          <w:szCs w:val="21"/>
          <w:highlight w:val="none"/>
          <w:u w:val="single"/>
          <w:lang w:val="en-US" w:eastAsia="zh-CN"/>
        </w:rPr>
        <w:t xml:space="preserve">                         </w:t>
      </w:r>
      <w:r/>
    </w:p>
    <w:p>
      <w:pPr>
        <w:ind w:left="0" w:firstLine="420"/>
        <w:jc w:val="both"/>
        <w:spacing w:line="36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根据《中华人民共和国民法典》等法律法规的规定，甲乙双方协商一致签订本合同。</w:t>
      </w:r>
      <w:r/>
    </w:p>
    <w:p>
      <w:pPr>
        <w:ind w:left="0" w:firstLine="420"/>
        <w:jc w:val="both"/>
        <w:spacing w:line="36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l、合同标的</w:t>
      </w:r>
      <w:r/>
    </w:p>
    <w:p>
      <w:pPr>
        <w:ind w:left="0" w:firstLine="420"/>
        <w:jc w:val="both"/>
        <w:spacing w:line="36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1.1 工作内容：扬州市江都区垃圾填埋场渗滤液处理站主体工艺流程采用生化+膜处理方式，后期新增MVR工艺浓水处理设备。现通过委托运</w:t>
      </w:r>
      <w:r>
        <w:rPr>
          <w:rFonts w:hint="eastAsia" w:ascii="宋体" w:hAnsi="宋体" w:cs="宋体"/>
          <w:sz w:val="21"/>
          <w:szCs w:val="21"/>
          <w:highlight w:val="none"/>
          <w:u w:val="none"/>
          <w:lang w:val="en-US" w:eastAsia="zh-CN"/>
        </w:rPr>
        <w:t xml:space="preserve">营</w:t>
      </w:r>
      <w:r>
        <w:rPr>
          <w:rFonts w:hint="eastAsia" w:ascii="宋体" w:hAnsi="宋体" w:eastAsia="宋体" w:cs="宋体"/>
          <w:sz w:val="21"/>
          <w:szCs w:val="21"/>
          <w:highlight w:val="none"/>
          <w:u w:val="none"/>
          <w:lang w:val="en-US" w:eastAsia="zh-CN"/>
        </w:rPr>
        <w:t xml:space="preserve">维修，负责实施渗滤液处理站日常的运营管理，并保证渗滤液处理后出水达标排放；渗滤液处理站所有设施设备的操作、更换、维修、耗材更换、日常维护保养；渗滤液收集池管理；渗滤液处理站的安全环保工作；提供各阶段的工作台账和总结汇报；配合各级政府、部门和甲方的督查、检查等工作；MVR产生的危废收集入库、计量及协助危废处置单位装车等工作。</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1.2 出水水质要求：出水水质符合《生活垃圾填埋场污染物控制标准》(GB16889-2024)表二标准、《污水排入城镇下水道水质标准》(GB/T31962-2015)中B级标准。</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1.3 处理出水量要求：每月平均保底处理出水量为</w:t>
      </w:r>
      <w:r>
        <w:rPr>
          <w:rFonts w:hint="eastAsia" w:ascii="宋体" w:hAnsi="宋体" w:eastAsia="宋体" w:cs="宋体"/>
          <w:color w:val="000000"/>
          <w:sz w:val="21"/>
          <w:szCs w:val="21"/>
          <w:highlight w:val="none"/>
          <w:u w:val="none"/>
          <w:lang w:val="en-US" w:eastAsia="zh-CN" w:bidi="ar-SA"/>
        </w:rPr>
        <w:t xml:space="preserve">700</w:t>
      </w:r>
      <w:r>
        <w:rPr>
          <w:rFonts w:hint="eastAsia" w:ascii="宋体" w:hAnsi="宋体" w:eastAsia="宋体" w:cs="宋体"/>
          <w:color w:val="000000"/>
          <w:sz w:val="21"/>
          <w:szCs w:val="21"/>
          <w:highlight w:val="none"/>
          <w:u w:val="none"/>
          <w:lang w:val="en-US" w:eastAsia="zh-CN" w:bidi="ar-SA"/>
        </w:rPr>
        <w:t xml:space="preserve">吨，必须做到应收尽收、应处尽处。</w:t>
      </w:r>
      <w:r/>
    </w:p>
    <w:p>
      <w:pPr>
        <w:ind w:left="0" w:firstLine="420"/>
        <w:jc w:val="both"/>
        <w:spacing w:line="360" w:lineRule="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2、合同金额</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2.1 本合同金额为：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none"/>
          <w:lang w:val="en-US" w:eastAsia="zh-CN" w:bidi="ar-SA"/>
        </w:rPr>
        <w:t xml:space="preserve">(小写：</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none"/>
          <w:lang w:val="en-US" w:eastAsia="zh-CN" w:bidi="ar-SA"/>
        </w:rPr>
        <w:t xml:space="preserve">元）。</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2.2 本合同总金额包括乙方提供的服务及其他有关的为完成本项目发生的所有费用和运营过程中所有日常维修时更换的配件费用（配件单价≤</w:t>
      </w:r>
      <w:r>
        <w:rPr>
          <w:rFonts w:hint="eastAsia" w:ascii="宋体" w:hAnsi="宋体" w:eastAsia="宋体" w:cs="宋体"/>
          <w:color w:val="000000"/>
          <w:sz w:val="21"/>
          <w:szCs w:val="21"/>
          <w:highlight w:val="none"/>
          <w:u w:val="none"/>
          <w:lang w:val="en-US" w:eastAsia="zh-CN" w:bidi="ar-SA"/>
        </w:rPr>
        <w:t xml:space="preserve">2500</w:t>
      </w:r>
      <w:r>
        <w:rPr>
          <w:rFonts w:hint="eastAsia" w:ascii="宋体" w:hAnsi="宋体" w:eastAsia="宋体" w:cs="宋体"/>
          <w:color w:val="000000"/>
          <w:sz w:val="21"/>
          <w:szCs w:val="21"/>
          <w:highlight w:val="none"/>
          <w:u w:val="none"/>
          <w:lang w:val="en-US" w:eastAsia="zh-CN" w:bidi="ar-SA"/>
        </w:rPr>
        <w:t xml:space="preserve">元），文件中另有规定的除外。</w:t>
      </w:r>
      <w:r/>
    </w:p>
    <w:p>
      <w:pPr>
        <w:pStyle w:val="858"/>
        <w:ind w:firstLine="420"/>
        <w:jc w:val="left"/>
        <w:spacing w:before="55" w:line="360" w:lineRule="auto"/>
        <w:rPr>
          <w:rFonts w:hint="default"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项目运营时产生的水电费由甲方承担。</w:t>
      </w:r>
      <w:r/>
    </w:p>
    <w:p>
      <w:pPr>
        <w:pStyle w:val="858"/>
        <w:ind w:firstLine="420"/>
        <w:jc w:val="left"/>
        <w:spacing w:before="55" w:line="360" w:lineRule="auto"/>
        <w:rPr>
          <w:rFonts w:hint="eastAsia" w:ascii="宋体" w:hAnsi="宋体" w:eastAsia="宋体" w:cs="宋体"/>
          <w:color w:val="121212"/>
          <w:spacing w:val="-24"/>
          <w:sz w:val="21"/>
          <w:szCs w:val="21"/>
          <w:highlight w:val="none"/>
        </w:rPr>
      </w:pPr>
      <w:r>
        <w:rPr>
          <w:rFonts w:hint="eastAsia" w:ascii="宋体" w:hAnsi="宋体" w:eastAsia="宋体" w:cs="宋体"/>
          <w:color w:val="000000"/>
          <w:sz w:val="21"/>
          <w:szCs w:val="21"/>
          <w:highlight w:val="none"/>
          <w:u w:val="none"/>
          <w:lang w:val="en-US" w:eastAsia="zh-CN" w:bidi="ar-SA"/>
        </w:rPr>
        <w:t xml:space="preserve">2.3 在文件来列明，而乙方认为履行本合同必需的费用也包含在合同总</w:t>
      </w:r>
      <w:r>
        <w:rPr>
          <w:rFonts w:hint="eastAsia" w:ascii="宋体" w:hAnsi="宋体" w:eastAsia="宋体" w:cs="宋体"/>
          <w:color w:val="121212"/>
          <w:spacing w:val="-12"/>
          <w:sz w:val="21"/>
          <w:szCs w:val="21"/>
          <w:highlight w:val="none"/>
        </w:rPr>
        <w:t xml:space="preserve">金额</w:t>
      </w:r>
      <w:r>
        <w:rPr>
          <w:rFonts w:hint="eastAsia" w:ascii="宋体" w:hAnsi="宋体" w:eastAsia="宋体" w:cs="宋体"/>
          <w:color w:val="121212"/>
          <w:spacing w:val="-24"/>
          <w:sz w:val="21"/>
          <w:szCs w:val="21"/>
          <w:highlight w:val="none"/>
        </w:rPr>
        <w:t xml:space="preserve">中。</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2.4 合同金额包含但不限于以下内容：</w:t>
      </w:r>
      <w:r/>
    </w:p>
    <w:p>
      <w:pPr>
        <w:pStyle w:val="858"/>
        <w:ind w:firstLine="420"/>
        <w:jc w:val="left"/>
        <w:spacing w:before="55" w:line="360" w:lineRule="auto"/>
        <w:rPr>
          <w:rFonts w:hint="default"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本合同为总价合同，合同价为固定不变的价格，不因任何因素（包括但不限于原材料价格波动、市场行情变化、人工成本增加等）进行调整。</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(1)人工费用：包含处理站内管理人员和运行人员的工资、保险(社会保险和意外保险)、培训等所有费用。</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(2)运行药剂费：系统运行所需的化学药剂包括膜清洗药剂、阻垢剂、消泡剂、原水水质缺乏碳源需投加的碳源费等。</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(3)化验费、化验药剂包括氨氮测试条、亚硝氮测试条、硝氮测试条及COD等的检测费用等。</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(4)设备维修保养费：包括设施设备的维修与更换、水泵机封的更换、各种仪表的更换、常用的易耗品(润滑油、滤芯、滤袋等)及电气设备、元件的维护等。</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(5)报价包括但不限于人工费、化验药剂费、化验费、设备维修保养费、利润、管理费用及税金等。</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(6)委托运营项目不含水、电费以及MVR危度处置费。</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3、转包或分包</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3.1 本合同禁止转包，本合同范围的服务，应由乙方直接提供的，不得转让他人提供。</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3.2 经甲方同意，乙方可以依法采取分包方式履行合同，但是分包方式履行的，乙方应就采购项目向甲方负全责。</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4、合同履行期限:</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4.1 自合同签订接甲方通知开始2026年</w:t>
      </w:r>
      <w:r>
        <w:rPr>
          <w:rFonts w:hint="eastAsia" w:ascii="宋体" w:hAnsi="宋体" w:eastAsia="宋体" w:cs="宋体"/>
          <w:color w:val="000000"/>
          <w:sz w:val="21"/>
          <w:szCs w:val="21"/>
          <w:highlight w:val="none"/>
          <w:u w:val="single"/>
          <w:lang w:val="en-US" w:eastAsia="zh-CN" w:bidi="ar-SA"/>
        </w:rPr>
        <w:t xml:space="preserve"> 2 月 1 日</w:t>
      </w:r>
      <w:r>
        <w:rPr>
          <w:rFonts w:hint="eastAsia" w:ascii="宋体" w:hAnsi="宋体" w:eastAsia="宋体" w:cs="宋体"/>
          <w:color w:val="000000"/>
          <w:sz w:val="21"/>
          <w:szCs w:val="21"/>
          <w:highlight w:val="none"/>
          <w:u w:val="none"/>
          <w:lang w:val="en-US" w:eastAsia="zh-CN" w:bidi="ar-SA"/>
        </w:rPr>
        <w:t xml:space="preserve">至2028年</w:t>
      </w:r>
      <w:r>
        <w:rPr>
          <w:rFonts w:hint="eastAsia" w:ascii="宋体" w:hAnsi="宋体" w:eastAsia="宋体" w:cs="宋体"/>
          <w:color w:val="000000"/>
          <w:sz w:val="21"/>
          <w:szCs w:val="21"/>
          <w:highlight w:val="none"/>
          <w:u w:val="single"/>
          <w:lang w:val="en-US" w:eastAsia="zh-CN" w:bidi="ar-SA"/>
        </w:rPr>
        <w:t xml:space="preserve"> 1 月 31 </w:t>
      </w:r>
      <w:r>
        <w:rPr>
          <w:rFonts w:hint="eastAsia" w:ascii="宋体" w:hAnsi="宋体" w:eastAsia="宋体" w:cs="宋体"/>
          <w:color w:val="000000"/>
          <w:sz w:val="21"/>
          <w:szCs w:val="21"/>
          <w:highlight w:val="none"/>
          <w:u w:val="none"/>
          <w:lang w:val="en-US" w:eastAsia="zh-CN" w:bidi="ar-SA"/>
        </w:rPr>
        <w:t xml:space="preserve">日止。。</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5、服务费支付</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5.1 本合同项下所有款项均以人民币支付。</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5.2 本合同项下的采购资金由甲方支付，付款前乙方向甲方开具发票。</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5.3 付款方式:</w:t>
      </w:r>
      <w:r/>
    </w:p>
    <w:p>
      <w:pPr>
        <w:ind w:firstLine="480"/>
        <w:spacing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 合同签订后，乙方向甲方开具发票，甲方自收到发票之日起10个工作日内支付合同总价30%的预付款；</w:t>
      </w:r>
      <w:r/>
    </w:p>
    <w:p>
      <w:pPr>
        <w:ind w:firstLine="480"/>
        <w:spacing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(2) 在托管运营期间，</w:t>
      </w:r>
      <w:r>
        <w:rPr>
          <w:rFonts w:hint="eastAsia" w:ascii="宋体" w:hAnsi="宋体" w:eastAsia="宋体" w:cs="宋体"/>
          <w:color w:val="000000"/>
          <w:sz w:val="21"/>
          <w:szCs w:val="21"/>
          <w:highlight w:val="none"/>
          <w:lang w:eastAsia="zh-CN"/>
        </w:rPr>
        <w:t xml:space="preserve">甲方每三个月对乙方服务质量进行考核，经双方签字确认的考核汇总结果，结算一次</w:t>
      </w:r>
      <w:r>
        <w:rPr>
          <w:rFonts w:hint="eastAsia" w:ascii="宋体" w:hAnsi="宋体" w:eastAsia="宋体" w:cs="宋体"/>
          <w:color w:val="000000"/>
          <w:sz w:val="21"/>
          <w:szCs w:val="21"/>
          <w:highlight w:val="none"/>
          <w:u w:val="none"/>
          <w:lang w:val="en-US" w:eastAsia="zh-CN" w:bidi="ar-SA"/>
        </w:rPr>
        <w:t xml:space="preserve">运营处理费</w:t>
      </w:r>
      <w:r>
        <w:rPr>
          <w:rFonts w:hint="eastAsia" w:ascii="宋体" w:hAnsi="宋体" w:cs="宋体"/>
          <w:color w:val="000000"/>
          <w:sz w:val="21"/>
          <w:szCs w:val="21"/>
          <w:highlight w:val="none"/>
          <w:u w:val="none"/>
          <w:lang w:val="en-US" w:eastAsia="zh-CN" w:bidi="ar-SA"/>
        </w:rPr>
        <w:t xml:space="preserve">用支付合同价的</w:t>
      </w:r>
      <w:r>
        <w:rPr>
          <w:rFonts w:hint="eastAsia" w:ascii="宋体" w:hAnsi="宋体" w:cs="宋体"/>
          <w:color w:val="000000"/>
          <w:sz w:val="21"/>
          <w:szCs w:val="21"/>
          <w:highlight w:val="none"/>
          <w:lang w:val="en-US" w:eastAsia="zh-CN"/>
        </w:rPr>
        <w:t xml:space="preserve">8.75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none"/>
          <w:lang w:val="en-US" w:eastAsia="zh-CN" w:bidi="ar-SA"/>
        </w:rPr>
        <w:t xml:space="preserve">；乙方向甲方开具发票，甲方自收到发票之日起10个工作日内</w:t>
      </w:r>
      <w:r>
        <w:rPr>
          <w:rFonts w:hint="eastAsia" w:ascii="宋体" w:hAnsi="宋体" w:cs="宋体"/>
          <w:color w:val="000000"/>
          <w:sz w:val="21"/>
          <w:szCs w:val="21"/>
          <w:highlight w:val="none"/>
          <w:u w:val="none"/>
          <w:lang w:val="en-US" w:eastAsia="zh-CN" w:bidi="ar-SA"/>
        </w:rPr>
        <w:t xml:space="preserve">付款。</w:t>
      </w:r>
      <w:r>
        <w:rPr>
          <w:rFonts w:hint="eastAsia" w:ascii="宋体" w:hAnsi="宋体" w:eastAsia="宋体" w:cs="宋体"/>
          <w:color w:val="000000"/>
          <w:sz w:val="21"/>
          <w:szCs w:val="21"/>
          <w:highlight w:val="none"/>
          <w:lang w:eastAsia="zh-CN"/>
        </w:rPr>
        <w:t xml:space="preserve">（如考核中被扣款，则付款时扣除相应金额）</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6、税费</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本合同执行中相关的一切税费均由乙方负担。</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7、安全管理</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7.1 乙方应保障生产和服务的稳定和安全，防止事故发生。如出现重大意外事故，乙方应及时通报甲方，并尽最大人力、物力进行抢救，尽快恢复生产与服务;在事故影响期间，乙方应采取各种应急措施进行补救，尽量减少事故对公众的影响:并承担一切事故处理责任。</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7.2 渗滤液处理站的安全、卫生、防火要符合甲方和上级领导的管理要求，并接受甲方和上级领导的监督管理。在保证系统运行安全和运行质量等要求的前提下，避免或减少故障的发生，确保设备和人员的安全，安全隐患整改及时。若发生事故，由此产生的一切连带责任及经济损失由乙方负责。</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7.3 乙方在运维服务期内造成人员伤亡和财产损失的，由乙方负责赔偿。根据运维质量标准，由乙方按要求自行配置作业所需的材料、设备。</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7.4 因违反操作规程或其他人为原因造成生产事故，生产设备损坏及环境影响导致经济损失或安全事故的，将追究乙方的相关法律、经济责任。</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7.5 运维过程中所需的有毒药剂必须妥善保管和使用，若发生事故，由此产生的一切连带责任及经济损失由乙方负责。</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8、交付与验收</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8.1 按《生活垃圾填埋场污染物控制标准》(GB16889-2024)表二标准、《污水排入城镇下水道水质标准》(GB/T31962-2015)中B级标准进行验收。</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8.2 服务内容包括本项目垃圾渗滤液处理设备的运行使用、保养、维修与更换、负责渗滤液处理运行记录和渗滤液处理站日常考核、保证系统出水水质符合执行标准等。其中渗滤液处理运行记录须根据相关规定做好记录台账，随时接受环保等部门检查。</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8.3 运营期间甲方有权委托检测机构进行例行检测或随机监测;如检测结果超标时，乙方需立即采取改进措施，确保污水达标排放同时乙方应承担违法违约责任。</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8.4 未经过甲方审批同意，运营期内乙方不得擅自更改或调整渗滤液处理工艺设备，一经发现立即清理出场并承担一切赔偿责任。</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9、违约责任</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9.1 甲方无故逾期验收和无故逾期办理款项支付手续的,甲方应按逾期付款金额每日万分之五向乙方支付违约金。</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9.2 乙方违约，在消除违约情形前，应按本合同项目总额每日千分之五向甲方支付违约金，甲方可以从待付款项中扣除。</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9.3 乙方因逾期交付服务项目或因其他违约行为，导致甲方解除合同的，乙方应向甲方支付合同总值5%的违约金，如造成甲方损失超过违约金的，超出部分由乙方继续承担赔偿责任。</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9.4 运营期间如因不可抗力发生影响环境事件，乙方应主动采取措施，积极配合甲方消除隐患。如因乙方自身原因导致以上事件发生,则甲方有权终止合同，并按照相关法律法规由乙方承担一切法律责任及损失。</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9.5 如果乙方因自身原因导致水处理不达标时，甲方有权要求乙方在规定期限内整改到位，若乙方未能在规定期限内完成整改，则视为违约并按未达标天数根据合同相关条款向甲方支付违约金。若运营期间，因乙方原因使得水质累计超过5次处理未达标，则甲方有权终止合同。</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9.6 如果乙方在运营期间未得到甲方同意而私自暂停运营2天及以上的，将视为违约，甲方有权终止合同。</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10、不可抗力事件处理</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10.1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10.2 不可抗力事件发生后，应立即通知对方，并寄送有关权威机构出具的证明。除甲方书面另行要求外，乙方应尽实际可能继续履行合同义务，以及寻求采取合理的方案履行不受不可抗力影响的其他事项。若不可抗力事件延续 120天以上，双方应通过友好协商，确定是否继续履行合同。</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11、争议解决</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11.1 因服务的品质质量问题发生争议的，可在国家认可的质量检测机构对服务内容质量进行鉴定。服务符合标准的，鉴定费由甲方承担;服务项目不符合质量标准的，鉴定费由乙方承担。</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11.2 因履行本合同引起的或与本合同有关的争议，甲、乙双方应首先通过友好协商解决;如果协商不能解决争议，甲乙双方同意采取下列两种方式的第(2)种方式解决争议：</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(1)向甲方所在地有管辖权的人民法院提起诉讼，适用中华人民共和国法律；</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(2)向扬州仲裁委员会按其仲裁规则申请仲裁。</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11.3 若甲乙双方任何一方都没有选择解除合同的，为避免扩大损失，在诉讼或仲裁期间，双方应继续履行。</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12、合同其它</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12.1乙方应诚实信用，严格按照文件要求和承诺履行合同，不向甲方进行商业贿赂或者提供不正当利益。</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12.2乙方在服务过程中造成的一切安全责任均乙方自行承担。由此产生的法律和经济责任等一切后果，均由乙方承担。</w:t>
      </w:r>
      <w:r/>
    </w:p>
    <w:p>
      <w:pPr>
        <w:pStyle w:val="858"/>
        <w:ind w:firstLine="42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12.3乙方应诚实信用，严格按照文件要求和承诺履行合同，不向甲方进行商业贿赂或者提供不正当利益。</w:t>
      </w:r>
      <w:r/>
    </w:p>
    <w:p>
      <w:pPr>
        <w:pStyle w:val="858"/>
        <w:ind w:left="479" w:firstLine="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12.4 合同经双方法定代表人或授权代表签字并加盖单位公章，盖章后生效。</w:t>
      </w:r>
      <w:r/>
    </w:p>
    <w:p>
      <w:pPr>
        <w:pStyle w:val="858"/>
        <w:ind w:left="479" w:firstLine="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12.5 本合同未尽事宜，遵照《中华人民共和国民法典》有关条文执行。</w:t>
      </w:r>
      <w:r/>
    </w:p>
    <w:p>
      <w:pPr>
        <w:pStyle w:val="858"/>
        <w:ind w:left="479" w:firstLine="0"/>
        <w:jc w:val="left"/>
        <w:spacing w:before="55" w:line="360" w:lineRule="auto"/>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t xml:space="preserve">12.6 本合同正本一式陆份，具有同等法律效力，甲方、乙方、见证方各执贰份。</w:t>
      </w:r>
      <w:r/>
    </w:p>
    <w:p>
      <w:pPr>
        <w:pStyle w:val="87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bl>
      <w:tblPr>
        <w:tblStyle w:val="855"/>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见证方：</w:t>
            </w:r>
            <w:r/>
          </w:p>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1027"/>
        <w:jc w:val="center"/>
        <w:spacing w:line="360" w:lineRule="auto"/>
        <w:rPr>
          <w:rFonts w:hint="eastAsia"/>
          <w:color w:val="000000"/>
          <w:highlight w:val="none"/>
        </w:rPr>
      </w:pPr>
      <w:r>
        <w:rPr>
          <w:rFonts w:hint="eastAsia"/>
          <w:color w:val="000000"/>
          <w:highlight w:val="none"/>
        </w:rPr>
        <w:br w:type="page" w:clear="all"/>
      </w:r>
      <w:r>
        <w:rPr>
          <w:rFonts w:hint="eastAsia"/>
          <w:color w:val="000000"/>
          <w:highlight w:val="none"/>
        </w:rPr>
        <w:t xml:space="preserve">第四章 项目需求</w:t>
      </w:r>
      <w:bookmarkEnd w:id="38"/>
      <w:r/>
      <w:bookmarkEnd w:id="39"/>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其他要求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000000"/>
          <w:sz w:val="21"/>
          <w:szCs w:val="21"/>
          <w:highlight w:val="none"/>
        </w:rPr>
        <w:t xml:space="preserve">。其他条件相同情况下，应当优先采购节能产品、环境标志产品。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项目所属行业：其他未列明行业</w:t>
      </w:r>
      <w:r/>
    </w:p>
    <w:p>
      <w:pPr>
        <w:ind w:left="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left="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一、项目情况</w:t>
      </w:r>
      <w:r/>
    </w:p>
    <w:p>
      <w:pPr>
        <w:ind w:left="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1、项目名称:扬州市江都区垃圾填埋场渗滤液处理站运营项目</w:t>
      </w:r>
      <w:r/>
    </w:p>
    <w:p>
      <w:pPr>
        <w:ind w:left="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2、服务期限:</w:t>
      </w:r>
      <w:r>
        <w:rPr>
          <w:rFonts w:hint="eastAsia" w:ascii="宋体" w:hAnsi="宋体" w:cs="宋体"/>
          <w:color w:val="000000"/>
          <w:sz w:val="21"/>
          <w:szCs w:val="21"/>
          <w:highlight w:val="none"/>
          <w:lang w:val="en-US" w:eastAsia="zh-CN"/>
        </w:rPr>
        <w:t xml:space="preserve">2年，2026年2月1日</w:t>
      </w:r>
      <w:r>
        <w:rPr>
          <w:rFonts w:hint="eastAsia" w:ascii="宋体" w:hAnsi="宋体" w:eastAsia="宋体" w:cs="宋体"/>
          <w:color w:val="000000"/>
          <w:sz w:val="21"/>
          <w:szCs w:val="21"/>
          <w:highlight w:val="none"/>
        </w:rPr>
        <w:t xml:space="preserve">至</w:t>
      </w:r>
      <w:r>
        <w:rPr>
          <w:rFonts w:hint="eastAsia" w:ascii="宋体" w:hAnsi="宋体" w:cs="宋体"/>
          <w:color w:val="000000"/>
          <w:sz w:val="21"/>
          <w:szCs w:val="21"/>
          <w:highlight w:val="none"/>
          <w:lang w:eastAsia="zh-CN"/>
        </w:rPr>
        <w:t xml:space="preserve">2028年1月31日</w:t>
      </w:r>
      <w:r>
        <w:rPr>
          <w:rFonts w:hint="eastAsia" w:ascii="宋体" w:hAnsi="宋体" w:eastAsia="宋体" w:cs="宋体"/>
          <w:color w:val="000000"/>
          <w:sz w:val="21"/>
          <w:szCs w:val="21"/>
          <w:highlight w:val="none"/>
        </w:rPr>
        <w:t xml:space="preserve">止</w:t>
      </w:r>
      <w:r/>
    </w:p>
    <w:p>
      <w:pPr>
        <w:ind w:left="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工作内容:扬州市江都区垃圾填埋场渗滤液处理站主体工艺流程采用生化+膜处理方式，后期新增MVR工艺浓水处理设备。现通过委托运营维修，负责实施渗滤液处理站日常的运营管理，并保证渗滤液处理后出水达标排放;渗滤液处理站所有设施设备的操作、更换、维修、耗材更换、日常维护保养;渗滤液收集池管理;渗滤液处理站的安全环保工作;提供各阶段的工作台账和总结汇报配合各级政府、部门和采购人的督查、检查等工作;MVR产生的危废收集入库，计量及协助危废处置单位装车</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调节池及危废库废气运行维护</w:t>
      </w:r>
      <w:r>
        <w:rPr>
          <w:rFonts w:hint="eastAsia" w:ascii="宋体" w:hAnsi="宋体" w:eastAsia="宋体" w:cs="宋体"/>
          <w:color w:val="000000"/>
          <w:sz w:val="21"/>
          <w:szCs w:val="21"/>
          <w:highlight w:val="none"/>
        </w:rPr>
        <w:t xml:space="preserve">等工作。</w:t>
      </w:r>
      <w:r/>
    </w:p>
    <w:p>
      <w:pPr>
        <w:ind w:left="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4、出水水质要求:出水水质符合《生活垃圾填埋场污染物控制标准》(GB16889-2024)表二标准、《污水排入城镇下水道水质标准》(GB/T31962-2015)中B级标准。</w:t>
      </w:r>
      <w:r/>
    </w:p>
    <w:p>
      <w:pPr>
        <w:ind w:left="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5、处理出水量要求:每</w:t>
      </w:r>
      <w:r>
        <w:rPr>
          <w:rFonts w:hint="eastAsia" w:ascii="宋体" w:hAnsi="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rPr>
        <w:t xml:space="preserve">平均保底处理出水量为</w:t>
      </w:r>
      <w:r>
        <w:rPr>
          <w:rFonts w:hint="eastAsia" w:ascii="宋体" w:hAnsi="宋体" w:cs="宋体"/>
          <w:color w:val="000000"/>
          <w:sz w:val="21"/>
          <w:szCs w:val="21"/>
          <w:highlight w:val="none"/>
          <w:lang w:val="en-US" w:eastAsia="zh-CN"/>
        </w:rPr>
        <w:t xml:space="preserve">8400</w:t>
      </w:r>
      <w:r>
        <w:rPr>
          <w:rFonts w:hint="eastAsia" w:ascii="宋体" w:hAnsi="宋体" w:eastAsia="宋体" w:cs="宋体"/>
          <w:color w:val="000000"/>
          <w:sz w:val="21"/>
          <w:szCs w:val="21"/>
          <w:highlight w:val="none"/>
        </w:rPr>
        <w:t xml:space="preserve">吨，必须做到应收尽收、应处尽处。</w:t>
      </w:r>
      <w:r/>
    </w:p>
    <w:p>
      <w:pPr>
        <w:ind w:left="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6、项目现状:</w:t>
      </w:r>
      <w:r/>
    </w:p>
    <w:p>
      <w:pPr>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进水水质(实际水质数据以中标人自行测定为准)</w:t>
      </w:r>
      <w:r>
        <w:rPr>
          <w:rFonts w:hint="eastAsia" w:ascii="宋体" w:hAnsi="宋体" w:cs="宋体"/>
          <w:color w:val="000000"/>
          <w:sz w:val="21"/>
          <w:szCs w:val="21"/>
          <w:highlight w:val="none"/>
          <w:lang w:eastAsia="zh-CN"/>
        </w:rPr>
        <w:t xml:space="preserve">。</w:t>
      </w:r>
      <w:r/>
    </w:p>
    <w:p>
      <w:pPr>
        <w:ind w:left="0" w:firstLine="420"/>
        <w:keepLines w:val="0"/>
        <w:keepNext w:val="0"/>
        <w:pageBreakBefore w:val="0"/>
        <w:spacing w:line="360" w:lineRule="auto"/>
        <w:rPr>
          <w:color w:val="000000"/>
          <w:highlight w:val="none"/>
        </w:rPr>
      </w:pPr>
      <w:r>
        <w:rPr>
          <w:rFonts w:hint="eastAsia" w:ascii="宋体" w:hAnsi="宋体" w:eastAsia="宋体" w:cs="宋体"/>
          <w:color w:val="000000"/>
          <w:sz w:val="21"/>
          <w:szCs w:val="21"/>
          <w:highlight w:val="none"/>
        </w:rPr>
        <w:t xml:space="preserve">垃圾渗滤液主要产生于垃圾贮坑，其特点是污染物浓度高、成分复杂，属高浓度有机废水，氨氨含量高，主要污染物表征值为CODcr、NH3-N、SS等</w:t>
      </w:r>
      <w:r/>
    </w:p>
    <w:p>
      <w:pPr>
        <w:ind w:left="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二、服务要求</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负贵实施渗滤液处理站日常的运营管理,并保证渗滤液处理后出水达标排放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渗滤液处理站所有设施设备的操作、更换、维修、耗材更换、日常维护保养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渗滤液收集池管理;渗滤液处理站的安全环保工作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提供各阶段的工作台账和总结汇报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配合各级政府、部门和采购人的督查、检查等工作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MVR产生的危废收集入库、计量及协助危废处置单位装车等工作。</w:t>
      </w:r>
      <w:r/>
    </w:p>
    <w:p>
      <w:pPr>
        <w:ind w:left="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1、运营服务要求</w:t>
      </w:r>
      <w:r/>
    </w:p>
    <w:p>
      <w:pPr>
        <w:ind w:left="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(1)主要工作内容如下:</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
        <w:gridCol w:w="8047"/>
      </w:tblGrid>
      <w:tr>
        <w:trPr/>
        <w:tc>
          <w:tcPr>
            <w:gridSpan w:val="2"/>
            <w:tcW w:w="8522" w:type="dxa"/>
            <w:textDirection w:val="lrTb"/>
            <w:noWrap w:val="false"/>
          </w:tcPr>
          <w:p>
            <w:pPr>
              <w:jc w:val="center"/>
              <w:spacing w:after="0" w:line="360" w:lineRule="auto"/>
              <w:rPr>
                <w:rFonts w:hint="default" w:eastAsia="宋体"/>
                <w:color w:val="000000"/>
                <w:highlight w:val="none"/>
                <w:vertAlign w:val="baseline"/>
                <w:lang w:val="en-US" w:eastAsia="zh-CN"/>
              </w:rPr>
            </w:pPr>
            <w:r>
              <w:rPr>
                <w:rFonts w:hint="eastAsia"/>
                <w:b/>
                <w:bCs/>
                <w:color w:val="000000"/>
                <w:highlight w:val="none"/>
                <w:vertAlign w:val="baseline"/>
                <w:lang w:val="en-US" w:eastAsia="zh-CN"/>
              </w:rPr>
              <w:t xml:space="preserve">整体要求</w:t>
            </w:r>
            <w:r/>
          </w:p>
        </w:tc>
      </w:tr>
      <w:tr>
        <w:trPr/>
        <w:tc>
          <w:tcPr>
            <w:tcW w:w="475" w:type="dxa"/>
            <w:textDirection w:val="lrTb"/>
            <w:noWrap w:val="false"/>
          </w:tcPr>
          <w:p>
            <w:pPr>
              <w:spacing w:after="0" w:line="36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1</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每日对处理水质进行日常常规检测。</w:t>
            </w:r>
            <w:r/>
          </w:p>
        </w:tc>
      </w:tr>
      <w:tr>
        <w:trPr/>
        <w:tc>
          <w:tcPr>
            <w:tcW w:w="475" w:type="dxa"/>
            <w:textDirection w:val="lrTb"/>
            <w:noWrap w:val="false"/>
          </w:tcPr>
          <w:p>
            <w:pPr>
              <w:spacing w:after="0" w:line="36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2</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整理并记录运行数据，定期形成书面报告。</w:t>
            </w:r>
            <w:r/>
          </w:p>
        </w:tc>
      </w:tr>
      <w:tr>
        <w:trPr/>
        <w:tc>
          <w:tcPr>
            <w:tcW w:w="475" w:type="dxa"/>
            <w:textDirection w:val="lrTb"/>
            <w:noWrap w:val="false"/>
          </w:tcPr>
          <w:p>
            <w:pPr>
              <w:spacing w:after="0" w:line="36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3</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每月上报采购人当月运行月报一份，包括整体运行和水质、水量情况。</w:t>
            </w:r>
            <w:r/>
          </w:p>
        </w:tc>
      </w:tr>
      <w:tr>
        <w:trPr/>
        <w:tc>
          <w:tcPr>
            <w:tcW w:w="475" w:type="dxa"/>
            <w:textDirection w:val="lrTb"/>
            <w:noWrap w:val="false"/>
          </w:tcPr>
          <w:p>
            <w:pPr>
              <w:spacing w:after="0" w:line="36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4</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定期采购运维所需各种化学药剂，负贵设备维护及检修。</w:t>
            </w:r>
            <w:r/>
          </w:p>
        </w:tc>
      </w:tr>
      <w:tr>
        <w:trPr/>
        <w:tc>
          <w:tcPr>
            <w:tcW w:w="475" w:type="dxa"/>
            <w:textDirection w:val="lrTb"/>
            <w:noWrap w:val="false"/>
          </w:tcPr>
          <w:p>
            <w:pPr>
              <w:spacing w:after="0" w:line="36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5</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运维工作区域的保卫工作，运行设备的安全运行。</w:t>
            </w:r>
            <w:r/>
          </w:p>
        </w:tc>
      </w:tr>
      <w:tr>
        <w:trPr/>
        <w:tc>
          <w:tcPr>
            <w:tcW w:w="475" w:type="dxa"/>
            <w:textDirection w:val="lrTb"/>
            <w:noWrap w:val="false"/>
          </w:tcPr>
          <w:p>
            <w:pPr>
              <w:spacing w:after="0" w:line="36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6</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lang w:val="en-US" w:eastAsia="zh-CN"/>
              </w:rPr>
              <w:t xml:space="preserve">配合</w:t>
            </w:r>
            <w:r>
              <w:rPr>
                <w:rFonts w:hint="eastAsia"/>
                <w:color w:val="000000"/>
                <w:highlight w:val="none"/>
                <w:vertAlign w:val="baseline"/>
              </w:rPr>
              <w:t xml:space="preserve">各级部门的各项检查及评估工作。</w:t>
            </w:r>
            <w:r/>
          </w:p>
        </w:tc>
      </w:tr>
      <w:tr>
        <w:trPr/>
        <w:tc>
          <w:tcPr>
            <w:gridSpan w:val="2"/>
            <w:tcW w:w="8522" w:type="dxa"/>
            <w:textDirection w:val="lrTb"/>
            <w:noWrap w:val="false"/>
          </w:tcPr>
          <w:p>
            <w:pPr>
              <w:jc w:val="center"/>
              <w:spacing w:after="0" w:line="360" w:lineRule="auto"/>
              <w:rPr>
                <w:rFonts w:hint="default" w:eastAsia="宋体"/>
                <w:color w:val="000000"/>
                <w:highlight w:val="none"/>
                <w:vertAlign w:val="baseline"/>
                <w:lang w:val="en-US" w:eastAsia="zh-CN"/>
              </w:rPr>
            </w:pPr>
            <w:r>
              <w:rPr>
                <w:rFonts w:hint="eastAsia"/>
                <w:b/>
                <w:bCs/>
                <w:color w:val="000000"/>
                <w:highlight w:val="none"/>
                <w:vertAlign w:val="baseline"/>
                <w:lang w:val="en-US" w:eastAsia="zh-CN"/>
              </w:rPr>
              <w:t xml:space="preserve">设施设备运维要求</w:t>
            </w:r>
            <w:r/>
          </w:p>
        </w:tc>
      </w:tr>
      <w:tr>
        <w:trPr/>
        <w:tc>
          <w:tcPr>
            <w:tcW w:w="475" w:type="dxa"/>
            <w:textDirection w:val="lrTb"/>
            <w:noWrap w:val="false"/>
          </w:tcPr>
          <w:p>
            <w:pPr>
              <w:spacing w:after="0" w:line="360" w:lineRule="auto"/>
              <w:rPr>
                <w:rFonts w:hint="eastAsia" w:eastAsia="宋体"/>
                <w:color w:val="000000"/>
                <w:highlight w:val="none"/>
                <w:vertAlign w:val="baseline"/>
                <w:lang w:val="en-US" w:eastAsia="zh-CN"/>
              </w:rPr>
            </w:pPr>
            <w:r>
              <w:rPr>
                <w:rFonts w:hint="eastAsia"/>
                <w:color w:val="000000"/>
                <w:highlight w:val="none"/>
                <w:vertAlign w:val="baseline"/>
                <w:lang w:val="en-US" w:eastAsia="zh-CN"/>
              </w:rPr>
              <w:t xml:space="preserve">1</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记录每日运行状况，填写工作日志。</w:t>
            </w:r>
            <w:r/>
          </w:p>
        </w:tc>
      </w:tr>
      <w:tr>
        <w:trPr/>
        <w:tc>
          <w:tcPr>
            <w:tcW w:w="475" w:type="dxa"/>
            <w:textDirection w:val="lrTb"/>
            <w:noWrap w:val="false"/>
          </w:tcPr>
          <w:p>
            <w:pPr>
              <w:spacing w:after="0" w:line="360" w:lineRule="auto"/>
              <w:rPr>
                <w:rFonts w:hint="default"/>
                <w:color w:val="000000"/>
                <w:highlight w:val="none"/>
                <w:vertAlign w:val="baseline"/>
                <w:lang w:val="en-US" w:eastAsia="zh-CN"/>
              </w:rPr>
            </w:pPr>
            <w:r>
              <w:rPr>
                <w:rFonts w:hint="eastAsia"/>
                <w:color w:val="000000"/>
                <w:highlight w:val="none"/>
                <w:vertAlign w:val="baseline"/>
                <w:lang w:val="en-US" w:eastAsia="zh-CN"/>
              </w:rPr>
              <w:t xml:space="preserve">2</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提供设备检查计划，定期对设备进行检查，对仪表进行校准。</w:t>
            </w:r>
            <w:r/>
          </w:p>
        </w:tc>
      </w:tr>
      <w:tr>
        <w:trPr/>
        <w:tc>
          <w:tcPr>
            <w:tcW w:w="475" w:type="dxa"/>
            <w:textDirection w:val="lrTb"/>
            <w:noWrap w:val="false"/>
          </w:tcPr>
          <w:p>
            <w:pPr>
              <w:spacing w:after="0" w:line="360" w:lineRule="auto"/>
              <w:rPr>
                <w:rFonts w:hint="default"/>
                <w:color w:val="000000"/>
                <w:highlight w:val="none"/>
                <w:vertAlign w:val="baseline"/>
                <w:lang w:val="en-US" w:eastAsia="zh-CN"/>
              </w:rPr>
            </w:pPr>
            <w:r>
              <w:rPr>
                <w:rFonts w:hint="eastAsia"/>
                <w:color w:val="000000"/>
                <w:highlight w:val="none"/>
                <w:vertAlign w:val="baseline"/>
                <w:lang w:val="en-US" w:eastAsia="zh-CN"/>
              </w:rPr>
              <w:t xml:space="preserve">3</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根据检查结果对设备进行日常维护。</w:t>
            </w:r>
            <w:r/>
          </w:p>
        </w:tc>
      </w:tr>
      <w:tr>
        <w:trPr/>
        <w:tc>
          <w:tcPr>
            <w:tcW w:w="475" w:type="dxa"/>
            <w:textDirection w:val="lrTb"/>
            <w:noWrap w:val="false"/>
          </w:tcPr>
          <w:p>
            <w:pPr>
              <w:spacing w:after="0" w:line="360" w:lineRule="auto"/>
              <w:rPr>
                <w:rFonts w:hint="default"/>
                <w:color w:val="000000"/>
                <w:highlight w:val="none"/>
                <w:vertAlign w:val="baseline"/>
                <w:lang w:val="en-US" w:eastAsia="zh-CN"/>
              </w:rPr>
            </w:pPr>
            <w:r>
              <w:rPr>
                <w:rFonts w:hint="eastAsia"/>
                <w:color w:val="000000"/>
                <w:highlight w:val="none"/>
                <w:vertAlign w:val="baseline"/>
                <w:lang w:val="en-US" w:eastAsia="zh-CN"/>
              </w:rPr>
              <w:t xml:space="preserve">4</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处理紧急故障，保证设备正常运转。</w:t>
            </w:r>
            <w:r/>
          </w:p>
        </w:tc>
      </w:tr>
      <w:tr>
        <w:trPr/>
        <w:tc>
          <w:tcPr>
            <w:tcW w:w="475" w:type="dxa"/>
            <w:textDirection w:val="lrTb"/>
            <w:noWrap w:val="false"/>
          </w:tcPr>
          <w:p>
            <w:pPr>
              <w:spacing w:after="0" w:line="360" w:lineRule="auto"/>
              <w:rPr>
                <w:rFonts w:hint="default"/>
                <w:color w:val="000000"/>
                <w:highlight w:val="none"/>
                <w:vertAlign w:val="baseline"/>
                <w:lang w:val="en-US" w:eastAsia="zh-CN"/>
              </w:rPr>
            </w:pPr>
            <w:r>
              <w:rPr>
                <w:rFonts w:hint="eastAsia"/>
                <w:color w:val="000000"/>
                <w:highlight w:val="none"/>
                <w:vertAlign w:val="baseline"/>
                <w:lang w:val="en-US" w:eastAsia="zh-CN"/>
              </w:rPr>
              <w:t xml:space="preserve">5</w:t>
            </w:r>
            <w:r/>
          </w:p>
        </w:tc>
        <w:tc>
          <w:tcPr>
            <w:tcW w:w="8047" w:type="dxa"/>
            <w:textDirection w:val="lrTb"/>
            <w:noWrap w:val="false"/>
          </w:tcPr>
          <w:p>
            <w:pPr>
              <w:spacing w:after="0" w:line="360" w:lineRule="auto"/>
              <w:rPr>
                <w:rFonts w:hint="eastAsia"/>
                <w:color w:val="000000"/>
                <w:highlight w:val="none"/>
                <w:vertAlign w:val="baseline"/>
              </w:rPr>
            </w:pPr>
            <w:r>
              <w:rPr>
                <w:rFonts w:hint="eastAsia"/>
                <w:color w:val="000000"/>
                <w:highlight w:val="none"/>
                <w:vertAlign w:val="baseline"/>
              </w:rPr>
              <w:t xml:space="preserve">添加碳源、活性污泥等各类药剂。</w:t>
            </w:r>
            <w:r/>
          </w:p>
        </w:tc>
      </w:tr>
    </w:tbl>
    <w:p>
      <w:pPr>
        <w:spacing w:line="360" w:lineRule="auto"/>
        <w:rPr>
          <w:rFonts w:hint="eastAsia"/>
          <w:color w:val="000000"/>
          <w:highlight w:val="none"/>
        </w:rPr>
      </w:pPr>
      <w:r>
        <w:rPr>
          <w:rFonts w:hint="eastAsia"/>
          <w:color w:val="000000"/>
          <w:highlight w:val="none"/>
        </w:rPr>
      </w:r>
      <w:r/>
    </w:p>
    <w:p>
      <w:pPr>
        <w:numPr>
          <w:ilvl w:val="0"/>
          <w:numId w:val="2"/>
        </w:numPr>
        <w:spacing w:line="360" w:lineRule="auto"/>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运营相关要求</w:t>
      </w:r>
      <w:r/>
    </w:p>
    <w:p>
      <w:pPr>
        <w:numPr>
          <w:ilvl w:val="0"/>
          <w:numId w:val="0"/>
        </w:numPr>
        <w:ind w:left="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2.1</w:t>
      </w: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运营要求</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中标人须规范运行，保证渗滤液处理站站内安全、卫生、防火要符合各级主管部门和采购人的管理要求，并接受其上级领导和采购人的监督管理，在保证系统运行安全、质量达标等要求的前提下，避免或减少故障的发生，确保设备和人员的安全，安全隐患整改及时。若发生事故，由此产生的一切责任及经济损失均由中标人负责，采购人不承担任何连带责任。</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渗滤液处理运营所需的药剂使用、易耗用品更换所需费用由中标人自行承担:渗滤液处理过程中使用的</w:t>
      </w:r>
      <w:r>
        <w:rPr>
          <w:rFonts w:hint="eastAsia" w:cs="Times New Roman"/>
          <w:color w:val="000000"/>
          <w:highlight w:val="none"/>
          <w:vertAlign w:val="baseline"/>
          <w:lang w:eastAsia="zh-CN"/>
        </w:rPr>
        <w:t xml:space="preserve">辅助消耗件</w:t>
      </w:r>
      <w:r>
        <w:rPr>
          <w:rFonts w:hint="eastAsia" w:ascii="Times New Roman" w:hAnsi="Times New Roman" w:eastAsia="宋体" w:cs="Times New Roman"/>
          <w:color w:val="000000"/>
          <w:highlight w:val="none"/>
          <w:vertAlign w:val="baseline"/>
        </w:rPr>
        <w:t xml:space="preserve">、消耗品必须及时更换，更换产生的费用由中标人自行承担。不可为降低运营成本而延迟或拒绝更换</w:t>
      </w:r>
      <w:r>
        <w:rPr>
          <w:rFonts w:hint="eastAsia" w:cs="Times New Roman"/>
          <w:color w:val="000000"/>
          <w:highlight w:val="none"/>
          <w:vertAlign w:val="baseline"/>
          <w:lang w:eastAsia="zh-CN"/>
        </w:rPr>
        <w:t xml:space="preserve">辅助消耗件</w:t>
      </w:r>
      <w:r>
        <w:rPr>
          <w:rFonts w:hint="eastAsia" w:ascii="Times New Roman" w:hAnsi="Times New Roman" w:eastAsia="宋体" w:cs="Times New Roman"/>
          <w:color w:val="000000"/>
          <w:highlight w:val="none"/>
          <w:vertAlign w:val="baseline"/>
        </w:rPr>
        <w:t xml:space="preserve">、易耗品与配件，如因以上原因导致了渗滤液处理效率与渗滤液处理质量降低，采购单位在责成中标人更换有关配件后7天未内完成的，则采购单位可委托第三方实施更换，费用由中标人承担。</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渗滤液处理人员配备必须满足渗滤液处理运行要求。负责提供管理、运行人员必备的卫生防护、防疫设施和人员的安全、技术培训。</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处理出水量由出水管路上的流量计读取，中标人每天需要记录处理出水量并且每周需向采购人上报一次本周的处理出水量及处理效果。采购人将派人员对中标人处理出水量进行核实。</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中标人保证出水达标排放，出水标准必须符合《生活垃圾填埋场污染物控制标准》(GB16889-2024)表二标准、《污水排入城镇下水道水质标准》(GB/T31962-2015)中B级标准，否则视为不合格。</w:t>
      </w:r>
      <w:r/>
    </w:p>
    <w:p>
      <w:pPr>
        <w:numPr>
          <w:ilvl w:val="0"/>
          <w:numId w:val="0"/>
        </w:numPr>
        <w:ind w:left="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2.</w:t>
      </w:r>
      <w:r>
        <w:rPr>
          <w:rFonts w:hint="eastAsia" w:ascii="Times New Roman" w:hAnsi="Times New Roman" w:eastAsia="宋体" w:cs="Times New Roman"/>
          <w:color w:val="000000"/>
          <w:highlight w:val="none"/>
          <w:vertAlign w:val="baseline"/>
          <w:lang w:val="en-US" w:eastAsia="zh-CN"/>
        </w:rPr>
        <w:t xml:space="preserve">2</w:t>
      </w: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突发处置</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服务期间如遇突发紧急情况，中标人应根据采购人需求，及时响应，无条件配合采购人处理突发紧急情况。</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在运维期间，中标人必须对运维人员进行合理安排，保持通信渠道畅通，设立专门应急队伍，负责运维期间突发事件的处理，确保及时到位。</w:t>
      </w:r>
      <w:r/>
    </w:p>
    <w:p>
      <w:pPr>
        <w:numPr>
          <w:ilvl w:val="0"/>
          <w:numId w:val="0"/>
        </w:numPr>
        <w:ind w:left="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2.</w:t>
      </w:r>
      <w:r>
        <w:rPr>
          <w:rFonts w:hint="eastAsia" w:ascii="Times New Roman" w:hAnsi="Times New Roman" w:eastAsia="宋体" w:cs="Times New Roman"/>
          <w:color w:val="000000"/>
          <w:highlight w:val="none"/>
          <w:vertAlign w:val="baseline"/>
          <w:lang w:val="en-US" w:eastAsia="zh-CN"/>
        </w:rPr>
        <w:t xml:space="preserve">3</w:t>
      </w: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水质监测要求</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采购人有权委托有资质的第三方检测单位进行每季度至少一次的非定期抽检(检测合格费用由采购人支付。检测结果超标，中标人限期整改并承担违法违约责任)。经采购人及中标人双方见证，由第三方检测机构进行人工采样。</w:t>
      </w:r>
      <w:r/>
    </w:p>
    <w:p>
      <w:pPr>
        <w:numPr>
          <w:ilvl w:val="0"/>
          <w:numId w:val="0"/>
        </w:numPr>
        <w:ind w:left="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2.</w:t>
      </w:r>
      <w:r>
        <w:rPr>
          <w:rFonts w:hint="eastAsia" w:ascii="Times New Roman" w:hAnsi="Times New Roman" w:eastAsia="宋体" w:cs="Times New Roman"/>
          <w:color w:val="000000"/>
          <w:highlight w:val="none"/>
          <w:vertAlign w:val="baseline"/>
          <w:lang w:val="en-US" w:eastAsia="zh-CN"/>
        </w:rPr>
        <w:t xml:space="preserve">4</w:t>
      </w: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运行资料要求</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中标人需详细记录日常运行情况，并按时向采购人通报运维情况，及时提交相关报告、数据、资料。</w:t>
      </w:r>
      <w:r/>
    </w:p>
    <w:p>
      <w:pPr>
        <w:numPr>
          <w:ilvl w:val="0"/>
          <w:numId w:val="0"/>
        </w:numPr>
        <w:ind w:left="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2.</w:t>
      </w:r>
      <w:r>
        <w:rPr>
          <w:rFonts w:hint="eastAsia" w:ascii="Times New Roman" w:hAnsi="Times New Roman" w:eastAsia="宋体" w:cs="Times New Roman"/>
          <w:color w:val="000000"/>
          <w:highlight w:val="none"/>
          <w:vertAlign w:val="baseline"/>
          <w:lang w:val="en-US" w:eastAsia="zh-CN"/>
        </w:rPr>
        <w:t xml:space="preserve">5</w:t>
      </w: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建章立制要求</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中标人应建立完善日常管理制度、安全生产制度和事故紧急应急机制等，并报采购人审核。</w:t>
      </w:r>
      <w:r/>
    </w:p>
    <w:p>
      <w:pPr>
        <w:numPr>
          <w:ilvl w:val="0"/>
          <w:numId w:val="0"/>
        </w:numPr>
        <w:ind w:left="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2.</w:t>
      </w:r>
      <w:r>
        <w:rPr>
          <w:rFonts w:hint="eastAsia" w:ascii="Times New Roman" w:hAnsi="Times New Roman" w:eastAsia="宋体" w:cs="Times New Roman"/>
          <w:color w:val="000000"/>
          <w:highlight w:val="none"/>
          <w:vertAlign w:val="baseline"/>
          <w:lang w:val="en-US" w:eastAsia="zh-CN"/>
        </w:rPr>
        <w:t xml:space="preserve">6</w:t>
      </w:r>
      <w:r>
        <w:rPr>
          <w:rFonts w:hint="eastAsia" w:ascii="Times New Roman" w:hAnsi="Times New Roman" w:eastAsia="宋体" w:cs="Times New Roman"/>
          <w:color w:val="000000"/>
          <w:highlight w:val="none"/>
          <w:vertAlign w:val="baseline"/>
          <w:lang w:eastAsia="zh-CN"/>
        </w:rPr>
        <w:t xml:space="preserve">）</w:t>
      </w:r>
      <w:r>
        <w:rPr>
          <w:rFonts w:hint="eastAsia" w:ascii="Times New Roman" w:hAnsi="Times New Roman" w:eastAsia="宋体" w:cs="Times New Roman"/>
          <w:color w:val="000000"/>
          <w:highlight w:val="none"/>
          <w:vertAlign w:val="baseline"/>
        </w:rPr>
        <w:t xml:space="preserve">进场要求</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rPr>
      </w:pPr>
      <w:r>
        <w:rPr>
          <w:rFonts w:hint="eastAsia" w:ascii="Times New Roman" w:hAnsi="Times New Roman" w:eastAsia="宋体" w:cs="Times New Roman"/>
          <w:color w:val="000000"/>
          <w:highlight w:val="none"/>
          <w:vertAlign w:val="baseline"/>
        </w:rPr>
        <w:t xml:space="preserve">中标人须在中标后积极配合采购人，完成进场运维的交接工作。采购人负责前期维修更换工作的监管，所有维修更换设施设备的所有佐证材料上报采购人在运维期间,垃圾渗滤液处理站必须随时接受采购人或采购人委托的第三方的检查、评估等。</w:t>
      </w:r>
      <w:r/>
    </w:p>
    <w:p>
      <w:pPr>
        <w:numPr>
          <w:ilvl w:val="0"/>
          <w:numId w:val="0"/>
        </w:numPr>
        <w:keepLines w:val="0"/>
        <w:keepNext w:val="0"/>
        <w:pageBreakBefore w:val="0"/>
        <w:spacing w:line="360" w:lineRule="auto"/>
        <w:widowControl w:val="off"/>
        <w:rPr>
          <w:rFonts w:hint="eastAsia" w:ascii="Times New Roman" w:hAnsi="Times New Roman" w:eastAsia="宋体" w:cs="Times New Roman"/>
          <w:b/>
          <w:bCs/>
          <w:color w:val="000000"/>
          <w:highlight w:val="none"/>
          <w:vertAlign w:val="baseline"/>
          <w:lang w:val="en-US" w:eastAsia="zh-CN"/>
        </w:rPr>
      </w:pPr>
      <w:r>
        <w:rPr>
          <w:rFonts w:hint="eastAsia" w:ascii="Times New Roman" w:hAnsi="Times New Roman" w:eastAsia="宋体" w:cs="Times New Roman"/>
          <w:b/>
          <w:bCs/>
          <w:color w:val="000000"/>
          <w:highlight w:val="none"/>
          <w:vertAlign w:val="baseline"/>
          <w:lang w:val="en-US" w:eastAsia="zh-CN"/>
        </w:rPr>
        <w:t xml:space="preserve">3、人员要求</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项目的运行与管理人员不少于3人(专业技术运营负责人1名、现场操作工2名)，其与之相关的一切费用均由中标人承担。</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(1)中标人应安排身体健康、品性良好的运维服务人员上岗，遵守国家法律和单位内部规章制度，不得迟到、早退、脱岗、串岗，不得有违法乱纪的行为。</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(2)中标人应保证在岗运维服务人员的人数，运维服务人员若请假，中标人应及时调整替班人员。</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(3)中标人派出的运维服务人员应服从采购人的统一调度和指挥，若不服从采购人的指挥或有其他违法违纪行为，采购人有权要求中标人更换人员，中标人应于接到采购人的更换要求之日起两日内完成，不得借口推辞。</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(4)定期组织运维服务人员进行业务技能培训学习，不断提高服务人员业务技能水平。</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(5)中标人对在工作中出现的服务人员的人身安全承担责任，并对由于服务人员的原因导致的第三人的人身财产损失承担赔偿责任。</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(6)中标人应根据国家法律法规的规定与其派遣至采购人处运维服务的人员签署劳动合同，并负责上述人员的工资和社会劳动保险、奖金、福利等费用，若发生劳动争议均由中标人自己解决并承担所有责任,采购人无任何连带关系和责任。</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(7)合同履约期间，一切人员调动、调换需经采购人批准。</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(8)中标人工作人员须统一着装(工作服)，如果签订合同后一个月内仍不到位,则视为违约并按未配备到位天数根据合同相关条款向采购人支付违约金</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(9)须无条件服从采购人的工作总体安排。</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上述为基本要求，具体人员配备需满足项目实际需求，如无法满足采购人实际需求，需无条件按照采购人要求增加人员，且新增人员的所有费用均由中标人承担。如不足3人，缺一人达一星期及以上，则视为违约并按每人次缺勤天数据合同相关条款向采购人支付违约金。</w:t>
      </w:r>
      <w:r/>
    </w:p>
    <w:p>
      <w:pPr>
        <w:numPr>
          <w:ilvl w:val="0"/>
          <w:numId w:val="0"/>
        </w:numPr>
        <w:keepLines w:val="0"/>
        <w:keepNext w:val="0"/>
        <w:pageBreakBefore w:val="0"/>
        <w:spacing w:line="360" w:lineRule="auto"/>
        <w:widowControl w:val="off"/>
        <w:rPr>
          <w:rFonts w:hint="eastAsia" w:ascii="Times New Roman" w:hAnsi="Times New Roman" w:eastAsia="宋体" w:cs="Times New Roman"/>
          <w:b/>
          <w:bCs/>
          <w:color w:val="000000"/>
          <w:highlight w:val="none"/>
          <w:vertAlign w:val="baseline"/>
          <w:lang w:val="en-US" w:eastAsia="zh-CN"/>
        </w:rPr>
      </w:pPr>
      <w:r>
        <w:rPr>
          <w:rFonts w:hint="eastAsia" w:ascii="Times New Roman" w:hAnsi="Times New Roman" w:eastAsia="宋体" w:cs="Times New Roman"/>
          <w:b/>
          <w:bCs/>
          <w:color w:val="000000"/>
          <w:highlight w:val="none"/>
          <w:vertAlign w:val="baseline"/>
          <w:lang w:val="en-US" w:eastAsia="zh-CN"/>
        </w:rPr>
        <w:t xml:space="preserve">4、项目费用，包含但不限于以下内容:</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(1)人工费用:包含处理站内管理人员和运行人员的工资、保险(社会保险和意外保险)、培训等所有费用。</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(2)运行药剂费:系统运行所需的化学药剂包括膜清洗药剂、阻垢剂、消泡剂、原水水质缺乏碳源需投加的碳源费等。</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(3)化验费、化验药剂包括氨氮测试条、亚硝氮测试条、硝氮测试条及COD等的检测费用等。</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strike w:val="0"/>
          <w:color w:val="000000"/>
          <w:highlight w:val="none"/>
          <w:vertAlign w:val="baseline"/>
          <w:lang w:val="en-US" w:eastAsia="zh-CN"/>
        </w:rPr>
      </w:pPr>
      <w:r>
        <w:rPr>
          <w:rFonts w:hint="eastAsia" w:ascii="Times New Roman" w:hAnsi="Times New Roman" w:eastAsia="宋体" w:cs="Times New Roman"/>
          <w:strike w:val="0"/>
          <w:color w:val="000000"/>
          <w:highlight w:val="none"/>
          <w:vertAlign w:val="baseline"/>
          <w:lang w:val="en-US" w:eastAsia="zh-CN"/>
        </w:rPr>
        <w:t xml:space="preserve">(4)设备维修保养费:包括设施设备的维修与更换、水泵机封的更换、各种仪表的更换、常用的易耗品(润滑油、滤芯、滤袋等)及电气设备、元件的维护等。</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(5)报价包括但不限于人工费、运行药剂费、化验药剂费、化验费、设备维修保养费、利润、管理费用及税金等。</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(6)委托运营项目不含水、电费以及MVR危废处置费。</w:t>
      </w:r>
      <w:r/>
    </w:p>
    <w:p>
      <w:pPr>
        <w:numPr>
          <w:ilvl w:val="0"/>
          <w:numId w:val="0"/>
        </w:numPr>
        <w:keepLines w:val="0"/>
        <w:keepNext w:val="0"/>
        <w:pageBreakBefore w:val="0"/>
        <w:spacing w:line="360" w:lineRule="auto"/>
        <w:widowControl w:val="off"/>
        <w:rPr>
          <w:rFonts w:hint="eastAsia" w:ascii="Times New Roman" w:hAnsi="Times New Roman" w:eastAsia="宋体" w:cs="Times New Roman"/>
          <w:b/>
          <w:bCs/>
          <w:color w:val="000000"/>
          <w:highlight w:val="none"/>
          <w:vertAlign w:val="baseline"/>
          <w:lang w:val="en-US" w:eastAsia="zh-CN"/>
        </w:rPr>
      </w:pPr>
      <w:r>
        <w:rPr>
          <w:rFonts w:hint="eastAsia" w:ascii="Times New Roman" w:hAnsi="Times New Roman" w:eastAsia="宋体" w:cs="Times New Roman"/>
          <w:b/>
          <w:bCs/>
          <w:color w:val="000000"/>
          <w:highlight w:val="none"/>
          <w:vertAlign w:val="baseline"/>
          <w:lang w:val="en-US" w:eastAsia="zh-CN"/>
        </w:rPr>
        <w:t xml:space="preserve">5、安全管理要求</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中标人应保障生产和服务的稳定和安全，防止事故发生。如出现重大意外事故，中标人应及时通报采购人，并尽最大人力、物力进行抢救，尽快恢复生产与服务;在事故影响期间，中标人应采取各种应急措施进行补救，尽量减少事故对公众的影响;并承担一切事故处理责任。</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渗滤液处理站的安全、卫生、防火要符合采购人和上级领导的管理要求，并接受采购人和上级领导的监督管理。在保证系统运行安全和运行质量等要求的前提下，避免或减少故障的发生，确保设备和人员的安全，安全隐患整改及时。若发生事故，由此产生的一切连带责任及经济损失由中标人负责。</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中标人在运维服务期内造成人员伤亡和财产损失的，由中标人负责赔偿。根据运维质量标准，由中标人按要求自行配置作业所需的材料、设备。</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因违反操作规程或其他人为原因造成生产事故，生产设备损坏及环境影响导致经济损失或安全事故的，将追究中标人的相关法律、经济责任。</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运维过程中所需的有毒药剂必须妥善保管和使用，若发生事故，由此产生的一切连带责任及经济损失由中标人负责。</w:t>
      </w:r>
      <w:r/>
    </w:p>
    <w:p>
      <w:pPr>
        <w:numPr>
          <w:ilvl w:val="0"/>
          <w:numId w:val="0"/>
        </w:numPr>
        <w:keepLines w:val="0"/>
        <w:keepNext w:val="0"/>
        <w:pageBreakBefore w:val="0"/>
        <w:spacing w:line="360" w:lineRule="auto"/>
        <w:widowControl w:val="off"/>
        <w:rPr>
          <w:rFonts w:hint="eastAsia" w:ascii="Times New Roman" w:hAnsi="Times New Roman" w:eastAsia="宋体" w:cs="Times New Roman"/>
          <w:b/>
          <w:bCs/>
          <w:color w:val="000000"/>
          <w:highlight w:val="none"/>
          <w:vertAlign w:val="baseline"/>
          <w:lang w:val="en-US" w:eastAsia="zh-CN"/>
        </w:rPr>
      </w:pPr>
      <w:r>
        <w:rPr>
          <w:rFonts w:hint="eastAsia" w:ascii="Times New Roman" w:hAnsi="Times New Roman" w:eastAsia="宋体" w:cs="Times New Roman"/>
          <w:b/>
          <w:bCs/>
          <w:color w:val="000000"/>
          <w:highlight w:val="none"/>
          <w:vertAlign w:val="baseline"/>
          <w:lang w:val="en-US" w:eastAsia="zh-CN"/>
        </w:rPr>
        <w:t xml:space="preserve">6、违约责任</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运营期间如因不可抗力发生影响环境事件，中标人应主动采取措施，积极配合采购人消除隐患。如因中标人自身原因导致以上事件发生，则采购人有权终止合同，并按照相关法律法规由中标人承担一切法律责任及损失。</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如果中标人因自身原因导致水处理不达标时,采购人有权要求中标人在规定期限内整改到位，若中标人未能在规定期限内完成整改，则视为违约并按未达标天数根据合同相关条款向甲方支付违约金。若运营期间，因中标人原因使得水质累计超过5次处理未达标，则采购人有权终止合同。</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如果中标人在运营期间未得到采购人同意而私自暂停运营2天及以上的，将视为违约，采购人有权终止合同。</w:t>
      </w:r>
      <w:r/>
    </w:p>
    <w:p>
      <w:pPr>
        <w:numPr>
          <w:ilvl w:val="0"/>
          <w:numId w:val="0"/>
        </w:numPr>
        <w:keepLines w:val="0"/>
        <w:keepNext w:val="0"/>
        <w:pageBreakBefore w:val="0"/>
        <w:spacing w:line="360" w:lineRule="auto"/>
        <w:widowControl w:val="off"/>
        <w:rPr>
          <w:rFonts w:hint="eastAsia" w:ascii="Times New Roman" w:hAnsi="Times New Roman" w:eastAsia="宋体" w:cs="Times New Roman"/>
          <w:b/>
          <w:bCs/>
          <w:color w:val="000000"/>
          <w:highlight w:val="none"/>
          <w:vertAlign w:val="baseline"/>
          <w:lang w:val="en-US" w:eastAsia="zh-CN"/>
        </w:rPr>
      </w:pPr>
      <w:r>
        <w:rPr>
          <w:rFonts w:hint="eastAsia" w:ascii="Times New Roman" w:hAnsi="Times New Roman" w:eastAsia="宋体" w:cs="Times New Roman"/>
          <w:b/>
          <w:bCs/>
          <w:color w:val="000000"/>
          <w:highlight w:val="none"/>
          <w:vertAlign w:val="baseline"/>
          <w:lang w:val="en-US" w:eastAsia="zh-CN"/>
        </w:rPr>
        <w:t xml:space="preserve">7、交付与验收</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(1)按《生活垃圾填埋场污染物控制标准》(GB16889-2024)表二标准、《污水排入城镇下水道水质标准》(GB/T31962-2015)中B级标准进行验收。</w:t>
      </w:r>
      <w:r/>
    </w:p>
    <w:p>
      <w:pPr>
        <w:numPr>
          <w:ilvl w:val="0"/>
          <w:numId w:val="0"/>
        </w:numPr>
        <w:ind w:left="420" w:firstLine="420"/>
        <w:keepLines w:val="0"/>
        <w:keepNext w:val="0"/>
        <w:pageBreakBefore w:val="0"/>
        <w:spacing w:line="360" w:lineRule="auto"/>
        <w:widowControl w:val="off"/>
        <w:rPr>
          <w:rFonts w:hint="eastAsia" w:ascii="Times New Roman" w:hAnsi="Times New Roman" w:eastAsia="宋体" w:cs="Times New Roman"/>
          <w:b/>
          <w:bCs/>
          <w:color w:val="000000"/>
          <w:highlight w:val="none"/>
          <w:vertAlign w:val="baseline"/>
          <w:lang w:val="en-US" w:eastAsia="zh-CN"/>
        </w:rPr>
      </w:pPr>
      <w:r>
        <w:rPr>
          <w:rFonts w:hint="eastAsia" w:ascii="Times New Roman" w:hAnsi="Times New Roman" w:eastAsia="宋体" w:cs="Times New Roman"/>
          <w:color w:val="000000"/>
          <w:highlight w:val="none"/>
          <w:vertAlign w:val="baseline"/>
          <w:lang w:val="en-US" w:eastAsia="zh-CN"/>
        </w:rPr>
        <w:t xml:space="preserve">(2)服务内容包括本项目垃圾渗滤液处理设备的运行使用、保养、维修与更换、负责渗滤液处理运行记录和渗滤液处理站日常考核、保证系统出水水质符合执行标准等。其中渗滤液处理运行记录须根据相关规定做好记录台账，随时接受环保等部门检查。</w:t>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color w:val="000000"/>
          <w:highlight w:val="none"/>
          <w:vertAlign w:val="baseline"/>
          <w:lang w:val="en-US" w:eastAsia="zh-CN"/>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default" w:ascii="Times New Roman" w:hAnsi="Times New Roman" w:eastAsia="宋体" w:cs="Times New Roman"/>
          <w:b/>
          <w:bCs/>
          <w:color w:val="000000"/>
          <w:highlight w:val="none"/>
          <w:vertAlign w:val="baseline"/>
          <w:lang w:val="en-US" w:eastAsia="zh-CN"/>
        </w:rPr>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color w:val="000000"/>
          <w:highlight w:val="none"/>
          <w:vertAlign w:val="baseline"/>
          <w:lang w:val="en-US" w:eastAsia="zh-CN"/>
        </w:rPr>
      </w:pPr>
      <w:r>
        <w:rPr>
          <w:rFonts w:hint="eastAsia" w:cs="Times New Roman"/>
          <w:b/>
          <w:bCs/>
          <w:color w:val="000000"/>
          <w:highlight w:val="none"/>
          <w:vertAlign w:val="baseline"/>
          <w:lang w:val="en-US" w:eastAsia="zh-CN"/>
        </w:rPr>
        <w:t xml:space="preserve">附件1：</w:t>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color w:val="000000"/>
          <w:highlight w:val="none"/>
          <w:vertAlign w:val="baseline"/>
          <w:lang w:val="en-US" w:eastAsia="zh-CN"/>
        </w:rPr>
      </w:pPr>
      <w:r>
        <w:rPr>
          <w:rFonts w:hint="default" w:ascii="Times New Roman" w:hAnsi="Times New Roman" w:eastAsia="宋体" w:cs="Times New Roman"/>
          <w:b/>
          <w:bCs/>
          <w:color w:val="000000"/>
          <w:highlight w:val="none"/>
          <w:vertAlign w:val="baseline"/>
          <w:lang w:val="en-US" w:eastAsia="zh-CN"/>
        </w:rPr>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color w:val="000000"/>
          <w:highlight w:val="none"/>
          <w:vertAlign w:val="baseline"/>
          <w:lang w:val="en-US" w:eastAsia="zh-CN"/>
        </w:rPr>
      </w:pPr>
      <w:r>
        <w:rPr>
          <w:rFonts w:hint="default" w:ascii="Times New Roman" w:hAnsi="Times New Roman" w:eastAsia="宋体" w:cs="Times New Roman"/>
          <w:b/>
          <w:bCs/>
          <w:color w:val="000000"/>
          <w:highlight w:val="none"/>
          <w:vertAlign w:val="baseline"/>
          <w:lang w:val="en-US" w:eastAsia="zh-CN"/>
        </w:rPr>
      </w:r>
      <w:r/>
    </w:p>
    <w:p>
      <w:pPr>
        <w:jc w:val="center"/>
        <w:spacing w:line="360" w:lineRule="auto"/>
        <w:rPr>
          <w:rFonts w:ascii="宋体" w:hAnsi="宋体"/>
          <w:szCs w:val="21"/>
          <w:highlight w:val="none"/>
        </w:rPr>
      </w:pPr>
      <w:r>
        <w:rPr>
          <w:rFonts w:ascii="宋体" w:hAnsi="宋体"/>
          <w:szCs w:val="21"/>
          <w:highlight w:val="none"/>
        </w:rPr>
        <w:t xml:space="preserve">监管</w:t>
      </w:r>
      <w:r>
        <w:rPr>
          <w:rFonts w:hint="eastAsia" w:ascii="宋体" w:hAnsi="宋体"/>
          <w:szCs w:val="21"/>
          <w:highlight w:val="none"/>
        </w:rPr>
        <w:t xml:space="preserve">考核</w:t>
      </w:r>
      <w:r>
        <w:rPr>
          <w:rFonts w:ascii="宋体" w:hAnsi="宋体"/>
          <w:szCs w:val="21"/>
          <w:highlight w:val="none"/>
        </w:rPr>
        <w:t xml:space="preserve">问题移交单</w:t>
      </w:r>
      <w:r/>
    </w:p>
    <w:p>
      <w:pPr>
        <w:ind w:right="150"/>
        <w:jc w:val="right"/>
        <w:spacing w:line="360" w:lineRule="auto"/>
        <w:rPr>
          <w:rFonts w:ascii="宋体" w:hAnsi="宋体"/>
          <w:szCs w:val="21"/>
          <w:highlight w:val="none"/>
          <w:u w:val="single"/>
        </w:rPr>
      </w:pPr>
      <w:r>
        <w:rPr>
          <w:rFonts w:ascii="宋体" w:hAnsi="宋体"/>
          <w:szCs w:val="21"/>
          <w:highlight w:val="none"/>
        </w:rPr>
        <w:t xml:space="preserve">    NO:</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Style w:val="1097"/>
          <w:rFonts w:hint="eastAsia" w:ascii="宋体" w:hAnsi="宋体"/>
          <w:szCs w:val="21"/>
          <w:highlight w:val="none"/>
          <w:lang w:eastAsia="zh-CN"/>
        </w:rPr>
        <w:t xml:space="preserve">扬州市江都区垃圾填埋场渗滤液处理站</w:t>
      </w:r>
      <w:r>
        <w:rPr>
          <w:rStyle w:val="1097"/>
          <w:rFonts w:hint="eastAsia" w:ascii="宋体" w:hAnsi="宋体"/>
          <w:szCs w:val="21"/>
          <w:highlight w:val="none"/>
        </w:rPr>
        <w:t xml:space="preserve">第三方运营</w:t>
      </w:r>
      <w:r>
        <w:rPr>
          <w:rFonts w:ascii="宋体" w:hAnsi="宋体"/>
          <w:szCs w:val="21"/>
          <w:highlight w:val="none"/>
        </w:rPr>
        <w:t xml:space="preserve">单位：</w:t>
      </w:r>
      <w:r/>
    </w:p>
    <w:p>
      <w:pPr>
        <w:ind w:firstLine="735"/>
        <w:spacing w:line="360" w:lineRule="auto"/>
        <w:rPr>
          <w:rFonts w:ascii="宋体" w:hAnsi="宋体"/>
          <w:szCs w:val="21"/>
          <w:highlight w:val="none"/>
          <w:u w:val="single"/>
        </w:rPr>
      </w:pPr>
      <w:r>
        <w:rPr>
          <w:rFonts w:ascii="宋体" w:hAnsi="宋体"/>
          <w:szCs w:val="21"/>
          <w:highlight w:val="none"/>
          <w:u w:val="single"/>
        </w:rPr>
      </w:r>
      <w:r/>
    </w:p>
    <w:p>
      <w:pPr>
        <w:ind w:firstLine="420"/>
        <w:spacing w:line="360" w:lineRule="auto"/>
        <w:rPr>
          <w:rFonts w:ascii="宋体" w:hAnsi="宋体"/>
          <w:szCs w:val="21"/>
          <w:highlight w:val="none"/>
        </w:rPr>
      </w:pPr>
      <w:r>
        <w:rPr>
          <w:rFonts w:ascii="宋体" w:hAnsi="宋体"/>
          <w:szCs w:val="21"/>
          <w:highlight w:val="none"/>
          <w:u w:val="single"/>
        </w:rPr>
        <w:t xml:space="preserve">     年月日</w:t>
      </w:r>
      <w:r>
        <w:rPr>
          <w:rFonts w:ascii="宋体" w:hAnsi="宋体"/>
          <w:szCs w:val="21"/>
          <w:highlight w:val="none"/>
        </w:rPr>
        <w:t xml:space="preserve">，我</w:t>
      </w:r>
      <w:r>
        <w:rPr>
          <w:rFonts w:hint="eastAsia" w:ascii="宋体" w:hAnsi="宋体"/>
          <w:szCs w:val="21"/>
          <w:highlight w:val="none"/>
        </w:rPr>
        <w:t xml:space="preserve">处</w:t>
      </w:r>
      <w:r>
        <w:rPr>
          <w:rFonts w:ascii="宋体" w:hAnsi="宋体"/>
          <w:szCs w:val="21"/>
          <w:highlight w:val="none"/>
        </w:rPr>
        <w:t xml:space="preserve">在例行检查中发现存在以下问题</w:t>
      </w:r>
      <w:r>
        <w:rPr>
          <w:rFonts w:hint="eastAsia" w:ascii="宋体" w:hAnsi="宋体"/>
          <w:szCs w:val="21"/>
          <w:highlight w:val="none"/>
        </w:rPr>
        <w:t xml:space="preserve">：</w:t>
      </w:r>
      <w:r>
        <w:rPr>
          <w:rFonts w:hint="eastAsia" w:ascii="宋体" w:hAnsi="宋体"/>
          <w:szCs w:val="21"/>
          <w:highlight w:val="none"/>
          <w:u w:val="single"/>
        </w:rPr>
        <w:t xml:space="preserve">                                                </w:t>
      </w:r>
      <w:r>
        <w:rPr>
          <w:rFonts w:ascii="宋体" w:hAnsi="宋体"/>
          <w:szCs w:val="21"/>
          <w:highlight w:val="none"/>
        </w:rPr>
        <w:t xml:space="preserve">，请立即予以整改，并</w:t>
      </w:r>
      <w:r>
        <w:rPr>
          <w:rFonts w:hint="eastAsia" w:ascii="宋体" w:hAnsi="宋体"/>
          <w:szCs w:val="21"/>
          <w:highlight w:val="none"/>
        </w:rPr>
        <w:t xml:space="preserve">在10日内书面上报</w:t>
      </w:r>
      <w:r>
        <w:rPr>
          <w:rFonts w:ascii="宋体" w:hAnsi="宋体"/>
          <w:szCs w:val="21"/>
          <w:highlight w:val="none"/>
        </w:rPr>
        <w:t xml:space="preserve">整改情况。</w:t>
      </w:r>
      <w:r/>
    </w:p>
    <w:p>
      <w:pPr>
        <w:ind w:right="200"/>
        <w:jc w:val="left"/>
        <w:spacing w:line="360" w:lineRule="auto"/>
        <w:rPr>
          <w:rFonts w:ascii="宋体" w:hAnsi="宋体"/>
          <w:szCs w:val="21"/>
          <w:highlight w:val="none"/>
        </w:rPr>
      </w:pPr>
      <w:r>
        <w:rPr>
          <w:rFonts w:ascii="宋体" w:hAnsi="宋体"/>
          <w:szCs w:val="21"/>
          <w:highlight w:val="none"/>
        </w:rPr>
        <w:t xml:space="preserve"> </w:t>
      </w:r>
      <w:r/>
    </w:p>
    <w:p>
      <w:pPr>
        <w:ind w:right="200"/>
        <w:jc w:val="left"/>
        <w:spacing w:line="360" w:lineRule="auto"/>
        <w:rPr>
          <w:rFonts w:ascii="宋体" w:hAnsi="宋体"/>
          <w:szCs w:val="21"/>
          <w:highlight w:val="none"/>
        </w:rPr>
      </w:pPr>
      <w:r>
        <w:rPr>
          <w:rFonts w:ascii="宋体" w:hAnsi="宋体"/>
          <w:szCs w:val="21"/>
          <w:highlight w:val="none"/>
        </w:rPr>
      </w:r>
      <w:r/>
    </w:p>
    <w:p>
      <w:pPr>
        <w:ind w:right="200"/>
        <w:jc w:val="left"/>
        <w:spacing w:line="360" w:lineRule="auto"/>
        <w:rPr>
          <w:rFonts w:ascii="宋体" w:hAnsi="宋体"/>
          <w:szCs w:val="21"/>
          <w:highlight w:val="none"/>
        </w:rPr>
      </w:pPr>
      <w:r>
        <w:rPr>
          <w:rFonts w:ascii="宋体" w:hAnsi="宋体"/>
          <w:szCs w:val="21"/>
          <w:highlight w:val="none"/>
        </w:rPr>
      </w:r>
      <w:r/>
    </w:p>
    <w:p>
      <w:pPr>
        <w:ind w:right="200"/>
        <w:jc w:val="left"/>
        <w:spacing w:line="360" w:lineRule="auto"/>
        <w:rPr>
          <w:rFonts w:ascii="宋体" w:hAnsi="宋体"/>
          <w:szCs w:val="21"/>
          <w:highlight w:val="none"/>
        </w:rPr>
      </w:pPr>
      <w:r>
        <w:rPr>
          <w:rFonts w:ascii="宋体" w:hAnsi="宋体"/>
          <w:szCs w:val="21"/>
          <w:highlight w:val="none"/>
        </w:rPr>
      </w:r>
      <w:r/>
    </w:p>
    <w:p>
      <w:pPr>
        <w:ind w:right="200"/>
        <w:jc w:val="center"/>
        <w:spacing w:line="360" w:lineRule="auto"/>
        <w:rPr>
          <w:rFonts w:ascii="宋体" w:hAnsi="宋体"/>
          <w:szCs w:val="21"/>
          <w:highlight w:val="none"/>
        </w:rPr>
      </w:pPr>
      <w:r>
        <w:rPr>
          <w:rFonts w:ascii="宋体" w:hAnsi="宋体"/>
          <w:szCs w:val="21"/>
          <w:highlight w:val="none"/>
        </w:rPr>
        <w:t xml:space="preserve">                  </w:t>
      </w:r>
      <w:r>
        <w:rPr>
          <w:rFonts w:hint="eastAsia" w:ascii="宋体" w:hAnsi="宋体"/>
          <w:szCs w:val="21"/>
          <w:highlight w:val="none"/>
          <w:lang w:eastAsia="zh-CN"/>
        </w:rPr>
        <w:t xml:space="preserve">扬州市江都区环境卫生管理处</w:t>
      </w:r>
      <w:r>
        <w:rPr>
          <w:rFonts w:hint="eastAsia" w:ascii="宋体" w:hAnsi="宋体"/>
          <w:szCs w:val="21"/>
          <w:highlight w:val="none"/>
        </w:rPr>
        <w:t xml:space="preserve">               </w:t>
      </w:r>
      <w:r/>
    </w:p>
    <w:p>
      <w:pPr>
        <w:ind w:right="200"/>
        <w:jc w:val="center"/>
        <w:spacing w:line="360" w:lineRule="auto"/>
        <w:rPr>
          <w:rFonts w:ascii="宋体" w:hAnsi="宋体"/>
          <w:szCs w:val="21"/>
          <w:highlight w:val="none"/>
          <w:u w:val="single"/>
        </w:rPr>
      </w:pPr>
      <w:r>
        <w:rPr>
          <w:rFonts w:hint="eastAsia" w:ascii="宋体" w:hAnsi="宋体"/>
          <w:szCs w:val="21"/>
          <w:highlight w:val="none"/>
        </w:rPr>
        <w:t xml:space="preserve">签发人：</w:t>
      </w:r>
      <w:r>
        <w:rPr>
          <w:rFonts w:hint="eastAsia" w:ascii="宋体" w:hAnsi="宋体"/>
          <w:szCs w:val="21"/>
          <w:highlight w:val="none"/>
          <w:u w:val="single"/>
        </w:rPr>
        <w:t xml:space="preserve">               </w:t>
      </w:r>
      <w:r/>
    </w:p>
    <w:p>
      <w:pPr>
        <w:ind w:right="200" w:firstLine="3780"/>
        <w:spacing w:line="360" w:lineRule="auto"/>
        <w:rPr>
          <w:rFonts w:ascii="宋体" w:hAnsi="宋体"/>
          <w:szCs w:val="21"/>
          <w:highlight w:val="none"/>
        </w:rPr>
        <w:sectPr>
          <w:headerReference w:type="default" r:id="rId11"/>
          <w:footerReference w:type="default" r:id="rId15"/>
          <w:footnotePr/>
          <w:endnotePr/>
          <w:type w:val="nextPage"/>
          <w:pgSz w:w="11906" w:h="16838" w:orient="portrait"/>
          <w:pgMar w:top="1985" w:right="1701" w:bottom="1701" w:left="1701" w:header="1361" w:footer="992" w:gutter="0"/>
          <w:cols w:num="1" w:sep="0" w:space="1701" w:equalWidth="1"/>
          <w:docGrid w:linePitch="360"/>
        </w:sectPr>
      </w:pPr>
      <w:r>
        <w:rPr>
          <w:rFonts w:hint="eastAsia" w:ascii="宋体" w:hAnsi="宋体"/>
          <w:szCs w:val="21"/>
          <w:highlight w:val="none"/>
        </w:rPr>
        <w:t xml:space="preserve">时 间：</w:t>
      </w:r>
      <w:r>
        <w:rPr>
          <w:rFonts w:hint="eastAsia" w:ascii="宋体" w:hAnsi="宋体"/>
          <w:szCs w:val="21"/>
          <w:highlight w:val="none"/>
          <w:u w:val="single"/>
        </w:rPr>
        <w:t xml:space="preserve">                </w:t>
      </w:r>
      <w:r/>
    </w:p>
    <w:p>
      <w:pPr>
        <w:numPr>
          <w:ilvl w:val="0"/>
          <w:numId w:val="0"/>
        </w:numPr>
        <w:keepLines w:val="0"/>
        <w:keepNext w:val="0"/>
        <w:pageBreakBefore w:val="0"/>
        <w:spacing w:line="360" w:lineRule="auto"/>
        <w:widowControl w:val="off"/>
        <w:rPr>
          <w:rStyle w:val="1097"/>
          <w:rFonts w:ascii="宋体" w:hAnsi="宋体"/>
          <w:b/>
          <w:szCs w:val="21"/>
          <w:highlight w:val="none"/>
        </w:rPr>
      </w:pPr>
      <w:r>
        <w:rPr>
          <w:rFonts w:hint="eastAsia" w:cs="Times New Roman"/>
          <w:b/>
          <w:bCs/>
          <w:color w:val="000000"/>
          <w:highlight w:val="none"/>
          <w:vertAlign w:val="baseline"/>
          <w:lang w:val="en-US" w:eastAsia="zh-CN"/>
        </w:rPr>
        <w:t xml:space="preserve">:</w:t>
      </w:r>
      <w:r>
        <w:rPr>
          <w:rFonts w:hint="default" w:ascii="Times New Roman" w:hAnsi="Times New Roman" w:eastAsia="宋体" w:cs="Times New Roman"/>
          <w:b/>
          <w:bCs/>
          <w:color w:val="000000"/>
          <w:highlight w:val="none"/>
          <w:vertAlign w:val="baseline"/>
          <w:lang w:val="en-US" w:eastAsia="zh-CN"/>
        </w:rPr>
        <w:br/>
      </w:r>
      <w:r>
        <w:rPr>
          <w:rFonts w:hint="eastAsia" w:cs="Times New Roman"/>
          <w:b/>
          <w:bCs/>
          <w:color w:val="000000"/>
          <w:highlight w:val="none"/>
          <w:vertAlign w:val="baseline"/>
          <w:lang w:val="en-US" w:eastAsia="zh-CN"/>
        </w:rPr>
        <w:t xml:space="preserve">附件2：</w:t>
      </w:r>
      <w:r>
        <w:rPr>
          <w:rStyle w:val="1097"/>
          <w:rFonts w:hint="eastAsia" w:ascii="宋体" w:hAnsi="宋体"/>
          <w:b/>
          <w:szCs w:val="21"/>
          <w:highlight w:val="none"/>
          <w:lang w:eastAsia="zh-CN"/>
        </w:rPr>
        <w:t xml:space="preserve">扬州市江都区垃圾填埋场渗滤液处理站</w:t>
      </w:r>
      <w:r>
        <w:rPr>
          <w:rStyle w:val="1097"/>
          <w:rFonts w:hint="eastAsia" w:ascii="宋体" w:hAnsi="宋体"/>
          <w:b/>
          <w:szCs w:val="21"/>
          <w:highlight w:val="none"/>
        </w:rPr>
        <w:t xml:space="preserve">第三方运营</w:t>
      </w:r>
      <w:r>
        <w:rPr>
          <w:rStyle w:val="1097"/>
          <w:rFonts w:hint="eastAsia" w:ascii="宋体" w:hAnsi="宋体"/>
          <w:b/>
          <w:szCs w:val="21"/>
          <w:highlight w:val="none"/>
          <w:lang w:val="en-US"/>
        </w:rPr>
        <w:t xml:space="preserve">季</w:t>
      </w:r>
      <w:r>
        <w:rPr>
          <w:rStyle w:val="1097"/>
          <w:rFonts w:hint="eastAsia" w:ascii="宋体" w:hAnsi="宋体"/>
          <w:b/>
          <w:szCs w:val="21"/>
          <w:highlight w:val="none"/>
        </w:rPr>
        <w:t xml:space="preserve">度考核评分表</w:t>
      </w:r>
      <w:r/>
    </w:p>
    <w:p>
      <w:pPr>
        <w:ind w:firstLine="315"/>
        <w:jc w:val="left"/>
        <w:spacing w:line="360" w:lineRule="auto"/>
        <w:rPr>
          <w:rStyle w:val="1097"/>
          <w:rFonts w:hint="eastAsia" w:ascii="宋体" w:hAnsi="宋体"/>
          <w:szCs w:val="21"/>
          <w:highlight w:val="none"/>
        </w:rPr>
      </w:pPr>
      <w:r>
        <w:rPr>
          <w:rFonts w:hint="eastAsia" w:ascii="宋体" w:hAnsi="宋体"/>
          <w:szCs w:val="21"/>
          <w:highlight w:val="none"/>
        </w:rPr>
      </w:r>
      <w:r/>
    </w:p>
    <w:p>
      <w:pPr>
        <w:ind w:firstLine="315"/>
        <w:jc w:val="left"/>
        <w:spacing w:line="360" w:lineRule="auto"/>
        <w:rPr>
          <w:rStyle w:val="1097"/>
          <w:rFonts w:ascii="宋体" w:hAnsi="宋体"/>
          <w:b/>
          <w:szCs w:val="21"/>
          <w:highlight w:val="none"/>
          <w:u w:val="single"/>
        </w:rPr>
      </w:pPr>
      <w:r>
        <w:rPr>
          <w:rStyle w:val="1097"/>
          <w:rFonts w:hint="eastAsia" w:ascii="宋体" w:hAnsi="宋体"/>
          <w:szCs w:val="21"/>
          <w:highlight w:val="none"/>
        </w:rPr>
        <w:t xml:space="preserve">考核</w:t>
      </w:r>
      <w:r>
        <w:rPr>
          <w:rStyle w:val="1097"/>
          <w:rFonts w:hint="eastAsia" w:ascii="宋体" w:hAnsi="宋体"/>
          <w:szCs w:val="21"/>
          <w:highlight w:val="none"/>
          <w:lang w:val="en-US"/>
        </w:rPr>
        <w:t xml:space="preserve">季</w:t>
      </w:r>
      <w:r>
        <w:rPr>
          <w:rStyle w:val="1097"/>
          <w:rFonts w:hint="eastAsia" w:ascii="宋体" w:hAnsi="宋体"/>
          <w:szCs w:val="21"/>
          <w:highlight w:val="none"/>
        </w:rPr>
        <w:t xml:space="preserve">度：</w:t>
      </w:r>
      <w:r>
        <w:rPr>
          <w:rStyle w:val="1097"/>
          <w:rFonts w:hint="eastAsia" w:ascii="宋体" w:hAnsi="宋体"/>
          <w:szCs w:val="21"/>
          <w:highlight w:val="none"/>
          <w:u w:val="single"/>
        </w:rPr>
        <w:t xml:space="preserve">               </w:t>
      </w:r>
      <w:r>
        <w:rPr>
          <w:rStyle w:val="1097"/>
          <w:rFonts w:hint="eastAsia" w:ascii="宋体" w:hAnsi="宋体"/>
          <w:szCs w:val="21"/>
          <w:highlight w:val="none"/>
        </w:rPr>
        <w:t xml:space="preserve">                                                                    考核时间：</w:t>
      </w:r>
      <w:r>
        <w:rPr>
          <w:rStyle w:val="1097"/>
          <w:rFonts w:hint="eastAsia" w:ascii="宋体" w:hAnsi="宋体"/>
          <w:szCs w:val="21"/>
          <w:highlight w:val="none"/>
          <w:u w:val="single"/>
        </w:rPr>
        <w:t xml:space="preserve">           </w:t>
      </w:r>
      <w:r/>
    </w:p>
    <w:tbl>
      <w:tblPr>
        <w:tblStyle w:val="855"/>
        <w:tblpPr w:horzAnchor="margin" w:tblpXSpec="center" w:vertAnchor="text" w:tblpY="163" w:leftFromText="180" w:topFromText="0" w:rightFromText="180" w:bottomFromText="0"/>
        <w:tblW w:w="13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4536"/>
        <w:gridCol w:w="6095"/>
        <w:gridCol w:w="992"/>
      </w:tblGrid>
      <w:tr>
        <w:trPr>
          <w:jc w:val="center"/>
          <w:trHeight w:val="562"/>
        </w:trPr>
        <w:tc>
          <w:tcPr>
            <w:tcW w:w="1413" w:type="dxa"/>
            <w:vAlign w:val="center"/>
            <w:textDirection w:val="lrTb"/>
            <w:noWrap w:val="false"/>
          </w:tcPr>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考核项目</w:t>
            </w:r>
            <w:r/>
          </w:p>
        </w:tc>
        <w:tc>
          <w:tcPr>
            <w:tcW w:w="4536" w:type="dxa"/>
            <w:vAlign w:val="center"/>
            <w:textDirection w:val="lrTb"/>
            <w:noWrap w:val="false"/>
          </w:tcPr>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考核内容</w:t>
            </w:r>
            <w:r/>
          </w:p>
        </w:tc>
        <w:tc>
          <w:tcPr>
            <w:tcW w:w="6095" w:type="dxa"/>
            <w:vAlign w:val="center"/>
            <w:textDirection w:val="lrTb"/>
            <w:noWrap w:val="false"/>
          </w:tcPr>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评分情况</w:t>
            </w:r>
            <w:r/>
          </w:p>
        </w:tc>
        <w:tc>
          <w:tcPr>
            <w:tcW w:w="992" w:type="dxa"/>
            <w:vAlign w:val="center"/>
            <w:textDirection w:val="lrTb"/>
            <w:noWrap w:val="false"/>
          </w:tcPr>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得分</w:t>
            </w:r>
            <w:r/>
          </w:p>
        </w:tc>
      </w:tr>
      <w:tr>
        <w:trPr>
          <w:jc w:val="center"/>
          <w:trHeight w:val="1154"/>
        </w:trPr>
        <w:tc>
          <w:tcPr>
            <w:tcW w:w="1413" w:type="dxa"/>
            <w:vAlign w:val="center"/>
            <w:vMerge w:val="restart"/>
            <w:textDirection w:val="lrTb"/>
            <w:noWrap w:val="false"/>
          </w:tcPr>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运行规范</w:t>
            </w:r>
            <w:r/>
          </w:p>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w:t>
            </w:r>
            <w:r>
              <w:rPr>
                <w:rStyle w:val="1097"/>
                <w:rFonts w:hint="eastAsia" w:ascii="宋体" w:hAnsi="宋体"/>
                <w:szCs w:val="21"/>
                <w:highlight w:val="none"/>
                <w:lang w:val="en-US"/>
              </w:rPr>
              <w:t xml:space="preserve">60</w:t>
            </w:r>
            <w:r>
              <w:rPr>
                <w:rStyle w:val="1097"/>
                <w:rFonts w:hint="eastAsia" w:ascii="宋体" w:hAnsi="宋体"/>
                <w:szCs w:val="21"/>
                <w:highlight w:val="none"/>
              </w:rPr>
              <w:t xml:space="preserve">分）</w:t>
            </w:r>
            <w:r/>
          </w:p>
        </w:tc>
        <w:tc>
          <w:tcPr>
            <w:tcW w:w="4536" w:type="dxa"/>
            <w:vAlign w:val="center"/>
            <w:textDirection w:val="lrTb"/>
            <w:noWrap w:val="false"/>
          </w:tcPr>
          <w:p>
            <w:pPr>
              <w:jc w:val="left"/>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渗滤液站水、气、声各项指标监测达标，本项</w:t>
            </w:r>
            <w:r>
              <w:rPr>
                <w:rStyle w:val="1097"/>
                <w:rFonts w:hint="eastAsia" w:ascii="宋体" w:hAnsi="宋体"/>
                <w:color w:val="000000" w:themeColor="text1"/>
                <w:szCs w:val="21"/>
                <w:highlight w:val="none"/>
                <w:lang w:val="en-US"/>
                <w14:textFill>
                  <w14:solidFill>
                    <w14:schemeClr w14:val="tx1"/>
                  </w14:solidFill>
                </w14:textFill>
              </w:rPr>
              <w:t xml:space="preserve">20</w:t>
            </w:r>
            <w:r>
              <w:rPr>
                <w:rStyle w:val="1097"/>
                <w:rFonts w:hint="eastAsia" w:ascii="宋体" w:hAnsi="宋体"/>
                <w:color w:val="000000" w:themeColor="text1"/>
                <w:szCs w:val="21"/>
                <w:highlight w:val="none"/>
                <w14:textFill>
                  <w14:solidFill>
                    <w14:schemeClr w14:val="tx1"/>
                  </w14:solidFill>
                </w14:textFill>
              </w:rPr>
              <w:t xml:space="preserve">分。</w:t>
            </w:r>
            <w:r/>
          </w:p>
        </w:tc>
        <w:tc>
          <w:tcPr>
            <w:tcW w:w="6095" w:type="dxa"/>
            <w:vAlign w:val="center"/>
            <w:textDirection w:val="lrTb"/>
            <w:noWrap w:val="false"/>
          </w:tcPr>
          <w:p>
            <w:pPr>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lang w:val="en-US"/>
                <w14:textFill>
                  <w14:solidFill>
                    <w14:schemeClr w14:val="tx1"/>
                  </w14:solidFill>
                </w14:textFill>
              </w:rPr>
              <w:t xml:space="preserve">季</w:t>
            </w:r>
            <w:r>
              <w:rPr>
                <w:rStyle w:val="1097"/>
                <w:rFonts w:hint="eastAsia" w:ascii="宋体" w:hAnsi="宋体"/>
                <w:color w:val="000000" w:themeColor="text1"/>
                <w:szCs w:val="21"/>
                <w:highlight w:val="none"/>
                <w14:textFill>
                  <w14:solidFill>
                    <w14:schemeClr w14:val="tx1"/>
                  </w14:solidFill>
                </w14:textFill>
              </w:rPr>
              <w:t xml:space="preserve">度所有指标合格不扣分，出现一次一个指标不达标扣1分，如果月度有多次监测不合格累计计算。</w:t>
            </w:r>
            <w:r/>
          </w:p>
        </w:tc>
        <w:tc>
          <w:tcPr>
            <w:tcW w:w="992" w:type="dxa"/>
            <w:vAlign w:val="center"/>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r>
      <w:tr>
        <w:trPr>
          <w:jc w:val="center"/>
          <w:trHeight w:val="1037"/>
        </w:trPr>
        <w:tc>
          <w:tcPr>
            <w:tcW w:w="1413" w:type="dxa"/>
            <w:vAlign w:val="center"/>
            <w:vMerge w:val="continue"/>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c>
          <w:tcPr>
            <w:tcW w:w="4536" w:type="dxa"/>
            <w:vAlign w:val="center"/>
            <w:textDirection w:val="lrTb"/>
            <w:noWrap w:val="false"/>
          </w:tcPr>
          <w:p>
            <w:pPr>
              <w:jc w:val="left"/>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之前下发的监管通知单得到有效解决，且程序规范单证签字到位。本项</w:t>
            </w:r>
            <w:r>
              <w:rPr>
                <w:rStyle w:val="1097"/>
                <w:rFonts w:hint="eastAsia" w:ascii="宋体" w:hAnsi="宋体"/>
                <w:color w:val="000000" w:themeColor="text1"/>
                <w:szCs w:val="21"/>
                <w:highlight w:val="none"/>
                <w:lang w:val="en-US"/>
                <w14:textFill>
                  <w14:solidFill>
                    <w14:schemeClr w14:val="tx1"/>
                  </w14:solidFill>
                </w14:textFill>
              </w:rPr>
              <w:t xml:space="preserve">10</w:t>
            </w:r>
            <w:r>
              <w:rPr>
                <w:rStyle w:val="1097"/>
                <w:rFonts w:hint="eastAsia" w:ascii="宋体" w:hAnsi="宋体"/>
                <w:color w:val="000000" w:themeColor="text1"/>
                <w:szCs w:val="21"/>
                <w:highlight w:val="none"/>
                <w14:textFill>
                  <w14:solidFill>
                    <w14:schemeClr w14:val="tx1"/>
                  </w14:solidFill>
                </w14:textFill>
              </w:rPr>
              <w:t xml:space="preserve">分。</w:t>
            </w:r>
            <w:r/>
          </w:p>
        </w:tc>
        <w:tc>
          <w:tcPr>
            <w:tcW w:w="6095" w:type="dxa"/>
            <w:vAlign w:val="center"/>
            <w:textDirection w:val="lrTb"/>
            <w:noWrap w:val="false"/>
          </w:tcPr>
          <w:p>
            <w:pPr>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所有监管通知单得到解决得</w:t>
            </w:r>
            <w:r>
              <w:rPr>
                <w:rStyle w:val="1097"/>
                <w:rFonts w:hint="eastAsia" w:ascii="宋体" w:hAnsi="宋体"/>
                <w:color w:val="000000" w:themeColor="text1"/>
                <w:szCs w:val="21"/>
                <w:highlight w:val="none"/>
                <w:lang w:val="en-US"/>
                <w14:textFill>
                  <w14:solidFill>
                    <w14:schemeClr w14:val="tx1"/>
                  </w14:solidFill>
                </w14:textFill>
              </w:rPr>
              <w:t xml:space="preserve">10</w:t>
            </w:r>
            <w:r>
              <w:rPr>
                <w:rStyle w:val="1097"/>
                <w:rFonts w:hint="eastAsia" w:ascii="宋体" w:hAnsi="宋体"/>
                <w:color w:val="000000" w:themeColor="text1"/>
                <w:szCs w:val="21"/>
                <w:highlight w:val="none"/>
                <w14:textFill>
                  <w14:solidFill>
                    <w14:schemeClr w14:val="tx1"/>
                  </w14:solidFill>
                </w14:textFill>
              </w:rPr>
              <w:t xml:space="preserve">分，每缺1个扣3分；</w:t>
            </w:r>
            <w:r/>
          </w:p>
          <w:p>
            <w:pPr>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程序规范得</w:t>
            </w:r>
            <w:r>
              <w:rPr>
                <w:rStyle w:val="1097"/>
                <w:rFonts w:hint="eastAsia" w:ascii="宋体" w:hAnsi="宋体"/>
                <w:color w:val="000000" w:themeColor="text1"/>
                <w:szCs w:val="21"/>
                <w:highlight w:val="none"/>
                <w:lang w:val="en-US"/>
                <w14:textFill>
                  <w14:solidFill>
                    <w14:schemeClr w14:val="tx1"/>
                  </w14:solidFill>
                </w14:textFill>
              </w:rPr>
              <w:t xml:space="preserve">10</w:t>
            </w:r>
            <w:r>
              <w:rPr>
                <w:rStyle w:val="1097"/>
                <w:rFonts w:hint="eastAsia" w:ascii="宋体" w:hAnsi="宋体"/>
                <w:color w:val="000000" w:themeColor="text1"/>
                <w:szCs w:val="21"/>
                <w:highlight w:val="none"/>
                <w14:textFill>
                  <w14:solidFill>
                    <w14:schemeClr w14:val="tx1"/>
                  </w14:solidFill>
                </w14:textFill>
              </w:rPr>
              <w:t xml:space="preserve">分，规范性不足，视程度扣1-4分。</w:t>
            </w:r>
            <w:r/>
          </w:p>
        </w:tc>
        <w:tc>
          <w:tcPr>
            <w:tcW w:w="992" w:type="dxa"/>
            <w:vAlign w:val="center"/>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r>
      <w:tr>
        <w:trPr>
          <w:jc w:val="center"/>
          <w:trHeight w:val="2137"/>
        </w:trPr>
        <w:tc>
          <w:tcPr>
            <w:tcW w:w="1413" w:type="dxa"/>
            <w:vAlign w:val="center"/>
            <w:vMerge w:val="continue"/>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c>
          <w:tcPr>
            <w:tcW w:w="4536" w:type="dxa"/>
            <w:vAlign w:val="center"/>
            <w:textDirection w:val="lrTb"/>
            <w:noWrap w:val="false"/>
          </w:tcPr>
          <w:p>
            <w:pPr>
              <w:jc w:val="left"/>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渗滤液处理站各处理单元</w:t>
            </w:r>
            <w:r>
              <w:rPr>
                <w:rStyle w:val="1097"/>
                <w:rFonts w:hint="eastAsia" w:ascii="宋体" w:hAnsi="宋体"/>
                <w:color w:val="000000" w:themeColor="text1"/>
                <w:szCs w:val="21"/>
                <w:highlight w:val="none"/>
                <w:lang w:val="en-US"/>
                <w14:textFill>
                  <w14:solidFill>
                    <w14:schemeClr w14:val="tx1"/>
                  </w14:solidFill>
                </w14:textFill>
              </w:rPr>
              <w:t xml:space="preserve">构筑物和</w:t>
            </w:r>
            <w:r>
              <w:rPr>
                <w:rStyle w:val="1097"/>
                <w:rFonts w:hint="eastAsia" w:ascii="宋体" w:hAnsi="宋体"/>
                <w:color w:val="000000" w:themeColor="text1"/>
                <w:szCs w:val="21"/>
                <w:highlight w:val="none"/>
                <w14:textFill>
                  <w14:solidFill>
                    <w14:schemeClr w14:val="tx1"/>
                  </w14:solidFill>
                </w14:textFill>
              </w:rPr>
              <w:t xml:space="preserve">设施设备维护规范到位，按照运行维护规范操作，无责任性损坏。本项</w:t>
            </w:r>
            <w:r>
              <w:rPr>
                <w:rStyle w:val="1097"/>
                <w:rFonts w:hint="eastAsia" w:ascii="宋体" w:hAnsi="宋体"/>
                <w:color w:val="000000" w:themeColor="text1"/>
                <w:szCs w:val="21"/>
                <w:highlight w:val="none"/>
                <w:lang w:val="en-US"/>
                <w14:textFill>
                  <w14:solidFill>
                    <w14:schemeClr w14:val="tx1"/>
                  </w14:solidFill>
                </w14:textFill>
              </w:rPr>
              <w:t xml:space="preserve">20</w:t>
            </w:r>
            <w:r>
              <w:rPr>
                <w:rStyle w:val="1097"/>
                <w:rFonts w:hint="eastAsia" w:ascii="宋体" w:hAnsi="宋体"/>
                <w:color w:val="000000" w:themeColor="text1"/>
                <w:szCs w:val="21"/>
                <w:highlight w:val="none"/>
                <w14:textFill>
                  <w14:solidFill>
                    <w14:schemeClr w14:val="tx1"/>
                  </w14:solidFill>
                </w14:textFill>
              </w:rPr>
              <w:t xml:space="preserve">分。</w:t>
            </w:r>
            <w:r/>
          </w:p>
        </w:tc>
        <w:tc>
          <w:tcPr>
            <w:tcW w:w="6095" w:type="dxa"/>
            <w:vAlign w:val="center"/>
            <w:textDirection w:val="lrTb"/>
            <w:noWrap w:val="false"/>
          </w:tcPr>
          <w:p>
            <w:pPr>
              <w:jc w:val="left"/>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设施设备因维护不规范导致损坏，发现一次扣1分。</w:t>
            </w:r>
            <w:r/>
          </w:p>
          <w:p>
            <w:pPr>
              <w:jc w:val="left"/>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日常巡检工作不到位，发现一次扣1分。</w:t>
            </w:r>
            <w:r/>
          </w:p>
          <w:p>
            <w:pPr>
              <w:jc w:val="left"/>
              <w:spacing w:line="360" w:lineRule="exact"/>
              <w:rPr>
                <w:rStyle w:val="1097"/>
                <w:rFonts w:hint="eastAsia"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运行中常规损坏未及时报修，发现一次扣1分。</w:t>
            </w:r>
            <w:r/>
          </w:p>
          <w:p>
            <w:pPr>
              <w:jc w:val="left"/>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lang w:val="en-US"/>
                <w14:textFill>
                  <w14:solidFill>
                    <w14:schemeClr w14:val="tx1"/>
                  </w14:solidFill>
                </w14:textFill>
              </w:rPr>
              <w:t xml:space="preserve">构筑物维护不到位，</w:t>
            </w:r>
            <w:r>
              <w:rPr>
                <w:rStyle w:val="1097"/>
                <w:rFonts w:hint="eastAsia" w:ascii="宋体" w:hAnsi="宋体"/>
                <w:color w:val="000000" w:themeColor="text1"/>
                <w:szCs w:val="21"/>
                <w:highlight w:val="none"/>
                <w14:textFill>
                  <w14:solidFill>
                    <w14:schemeClr w14:val="tx1"/>
                  </w14:solidFill>
                </w14:textFill>
              </w:rPr>
              <w:t xml:space="preserve">发现一次扣1分。</w:t>
            </w:r>
            <w:r/>
          </w:p>
          <w:p>
            <w:pPr>
              <w:jc w:val="left"/>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运行中有偷工减料、以次充好问题，发现一次扣5分。</w:t>
            </w:r>
            <w:r/>
          </w:p>
          <w:p>
            <w:pPr>
              <w:jc w:val="left"/>
              <w:spacing w:line="360" w:lineRule="exact"/>
              <w:rPr>
                <w:rStyle w:val="1097"/>
                <w:rFonts w:ascii="宋体" w:hAnsi="宋体"/>
                <w:color w:val="000000" w:themeColor="text1"/>
                <w:szCs w:val="21"/>
                <w:highlight w:val="none"/>
                <w14:textFill>
                  <w14:solidFill>
                    <w14:schemeClr w14:val="tx1"/>
                  </w14:solidFill>
                </w14:textFill>
              </w:rPr>
            </w:pPr>
            <w:r>
              <w:rPr>
                <w:rStyle w:val="1097"/>
                <w:rFonts w:hint="eastAsia" w:ascii="宋体" w:hAnsi="宋体"/>
                <w:color w:val="000000" w:themeColor="text1"/>
                <w:szCs w:val="21"/>
                <w:highlight w:val="none"/>
                <w14:textFill>
                  <w14:solidFill>
                    <w14:schemeClr w14:val="tx1"/>
                  </w14:solidFill>
                </w14:textFill>
              </w:rPr>
              <w:t xml:space="preserve">本项最低得分0分。</w:t>
            </w:r>
            <w:r/>
          </w:p>
        </w:tc>
        <w:tc>
          <w:tcPr>
            <w:tcW w:w="992" w:type="dxa"/>
            <w:vAlign w:val="center"/>
            <w:textDirection w:val="lrTb"/>
            <w:noWrap w:val="false"/>
          </w:tcPr>
          <w:p>
            <w:pPr>
              <w:jc w:val="left"/>
              <w:spacing w:line="360" w:lineRule="exact"/>
              <w:rPr>
                <w:rStyle w:val="1097"/>
                <w:rFonts w:ascii="宋体" w:hAnsi="宋体"/>
                <w:szCs w:val="21"/>
                <w:highlight w:val="none"/>
              </w:rPr>
            </w:pPr>
            <w:r>
              <w:rPr>
                <w:rFonts w:ascii="宋体" w:hAnsi="宋体"/>
                <w:szCs w:val="21"/>
                <w:highlight w:val="none"/>
              </w:rPr>
            </w:r>
            <w:r/>
          </w:p>
        </w:tc>
      </w:tr>
      <w:tr>
        <w:trPr>
          <w:jc w:val="center"/>
          <w:trHeight w:val="1769"/>
        </w:trPr>
        <w:tc>
          <w:tcPr>
            <w:tcW w:w="1413" w:type="dxa"/>
            <w:vAlign w:val="center"/>
            <w:vMerge w:val="continue"/>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c>
          <w:tcPr>
            <w:tcW w:w="4536" w:type="dxa"/>
            <w:vAlign w:val="center"/>
            <w:textDirection w:val="lrTb"/>
            <w:noWrap w:val="false"/>
          </w:tcPr>
          <w:p>
            <w:pPr>
              <w:jc w:val="left"/>
              <w:spacing w:line="360" w:lineRule="exact"/>
              <w:rPr>
                <w:rStyle w:val="1097"/>
                <w:rFonts w:ascii="宋体" w:hAnsi="宋体"/>
                <w:szCs w:val="21"/>
                <w:highlight w:val="none"/>
              </w:rPr>
            </w:pPr>
            <w:r>
              <w:rPr>
                <w:rStyle w:val="1097"/>
                <w:rFonts w:hint="eastAsia" w:ascii="宋体" w:hAnsi="宋体"/>
                <w:szCs w:val="21"/>
                <w:highlight w:val="none"/>
              </w:rPr>
              <w:t xml:space="preserve">渗滤液处理站场区环境得到较好维护，现场无满溢、无堆积、无积尘等现象。本项</w:t>
            </w:r>
            <w:r>
              <w:rPr>
                <w:rStyle w:val="1097"/>
                <w:rFonts w:hint="eastAsia" w:ascii="宋体" w:hAnsi="宋体"/>
                <w:szCs w:val="21"/>
                <w:highlight w:val="none"/>
                <w:lang w:val="en-US"/>
              </w:rPr>
              <w:t xml:space="preserve">10</w:t>
            </w:r>
            <w:r>
              <w:rPr>
                <w:rStyle w:val="1097"/>
                <w:rFonts w:hint="eastAsia" w:ascii="宋体" w:hAnsi="宋体"/>
                <w:szCs w:val="21"/>
                <w:highlight w:val="none"/>
              </w:rPr>
              <w:t xml:space="preserve">分。</w:t>
            </w:r>
            <w:r/>
          </w:p>
        </w:tc>
        <w:tc>
          <w:tcPr>
            <w:tcW w:w="6095" w:type="dxa"/>
            <w:vAlign w:val="center"/>
            <w:textDirection w:val="lrTb"/>
            <w:noWrap w:val="false"/>
          </w:tcPr>
          <w:p>
            <w:pPr>
              <w:spacing w:line="360" w:lineRule="exact"/>
              <w:rPr>
                <w:rStyle w:val="1097"/>
                <w:rFonts w:ascii="宋体" w:hAnsi="宋体"/>
                <w:szCs w:val="21"/>
                <w:highlight w:val="none"/>
              </w:rPr>
            </w:pPr>
            <w:r>
              <w:rPr>
                <w:rStyle w:val="1097"/>
                <w:rFonts w:hint="eastAsia" w:ascii="宋体" w:hAnsi="宋体"/>
                <w:szCs w:val="21"/>
                <w:highlight w:val="none"/>
              </w:rPr>
              <w:t xml:space="preserve">场区环境差，场地有暴露垃圾扣1分，设施设备有满溢痕迹扣2分，现场有杂物或污泥、药品堆积扣1分，场区绿化维护不力扣0.5分，处理车间设备积尘扣1分，其他环境问题扣1分。</w:t>
            </w:r>
            <w:r/>
          </w:p>
          <w:p>
            <w:pPr>
              <w:spacing w:line="360" w:lineRule="exact"/>
              <w:rPr>
                <w:rStyle w:val="1097"/>
                <w:rFonts w:ascii="宋体" w:hAnsi="宋体"/>
                <w:szCs w:val="21"/>
                <w:highlight w:val="none"/>
              </w:rPr>
            </w:pPr>
            <w:r>
              <w:rPr>
                <w:rStyle w:val="1097"/>
                <w:rFonts w:hint="eastAsia" w:ascii="宋体" w:hAnsi="宋体"/>
                <w:szCs w:val="21"/>
                <w:highlight w:val="none"/>
              </w:rPr>
              <w:t xml:space="preserve">本项最低得分0分。</w:t>
            </w:r>
            <w:r/>
          </w:p>
        </w:tc>
        <w:tc>
          <w:tcPr>
            <w:tcW w:w="992" w:type="dxa"/>
            <w:vAlign w:val="center"/>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r>
      <w:tr>
        <w:trPr>
          <w:jc w:val="center"/>
          <w:trHeight w:val="972"/>
        </w:trPr>
        <w:tc>
          <w:tcPr>
            <w:tcW w:w="1413" w:type="dxa"/>
            <w:vAlign w:val="center"/>
            <w:textDirection w:val="lrTb"/>
            <w:noWrap w:val="false"/>
          </w:tcPr>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安全生产</w:t>
            </w:r>
            <w:r/>
          </w:p>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（1</w:t>
            </w:r>
            <w:r>
              <w:rPr>
                <w:rStyle w:val="1097"/>
                <w:rFonts w:hint="eastAsia" w:ascii="宋体" w:hAnsi="宋体"/>
                <w:szCs w:val="21"/>
                <w:highlight w:val="none"/>
                <w:lang w:val="en-US"/>
              </w:rPr>
              <w:t xml:space="preserve">5</w:t>
            </w:r>
            <w:r>
              <w:rPr>
                <w:rStyle w:val="1097"/>
                <w:rFonts w:hint="eastAsia" w:ascii="宋体" w:hAnsi="宋体"/>
                <w:szCs w:val="21"/>
                <w:highlight w:val="none"/>
              </w:rPr>
              <w:t xml:space="preserve">分）</w:t>
            </w:r>
            <w:r/>
          </w:p>
        </w:tc>
        <w:tc>
          <w:tcPr>
            <w:tcW w:w="4536" w:type="dxa"/>
            <w:vAlign w:val="center"/>
            <w:textDirection w:val="lrTb"/>
            <w:noWrap w:val="false"/>
          </w:tcPr>
          <w:p>
            <w:pPr>
              <w:spacing w:line="360" w:lineRule="exact"/>
              <w:rPr>
                <w:rStyle w:val="1097"/>
                <w:rFonts w:ascii="宋体" w:hAnsi="宋体"/>
                <w:szCs w:val="21"/>
                <w:highlight w:val="none"/>
              </w:rPr>
            </w:pPr>
            <w:r>
              <w:rPr>
                <w:rStyle w:val="1097"/>
                <w:rFonts w:hint="eastAsia" w:ascii="宋体" w:hAnsi="宋体"/>
                <w:szCs w:val="21"/>
                <w:highlight w:val="none"/>
              </w:rPr>
              <w:t xml:space="preserve">安全生产，全年无安全事故。</w:t>
            </w:r>
            <w:r/>
          </w:p>
        </w:tc>
        <w:tc>
          <w:tcPr>
            <w:tcW w:w="6095" w:type="dxa"/>
            <w:vAlign w:val="center"/>
            <w:textDirection w:val="lrTb"/>
            <w:noWrap w:val="false"/>
          </w:tcPr>
          <w:p>
            <w:pPr>
              <w:jc w:val="left"/>
              <w:spacing w:line="360" w:lineRule="exact"/>
              <w:rPr>
                <w:rStyle w:val="1097"/>
                <w:rFonts w:ascii="宋体" w:hAnsi="宋体"/>
                <w:szCs w:val="21"/>
                <w:highlight w:val="none"/>
              </w:rPr>
            </w:pPr>
            <w:r>
              <w:rPr>
                <w:rStyle w:val="1097"/>
                <w:rFonts w:hint="eastAsia" w:ascii="宋体" w:hAnsi="宋体"/>
                <w:szCs w:val="21"/>
                <w:highlight w:val="none"/>
              </w:rPr>
              <w:t xml:space="preserve">无人员伤亡安全事故，当</w:t>
            </w:r>
            <w:r>
              <w:rPr>
                <w:rStyle w:val="1097"/>
                <w:rFonts w:hint="eastAsia" w:ascii="宋体" w:hAnsi="宋体"/>
                <w:szCs w:val="21"/>
                <w:highlight w:val="none"/>
                <w:lang w:val="en-US"/>
              </w:rPr>
              <w:t xml:space="preserve">季</w:t>
            </w:r>
            <w:r>
              <w:rPr>
                <w:rStyle w:val="1097"/>
                <w:rFonts w:hint="eastAsia" w:ascii="宋体" w:hAnsi="宋体"/>
                <w:szCs w:val="21"/>
                <w:highlight w:val="none"/>
              </w:rPr>
              <w:t xml:space="preserve">发生一起扣</w:t>
            </w:r>
            <w:r>
              <w:rPr>
                <w:rStyle w:val="1097"/>
                <w:rFonts w:hint="eastAsia" w:ascii="宋体" w:hAnsi="宋体"/>
                <w:szCs w:val="21"/>
                <w:highlight w:val="none"/>
                <w:lang w:val="en-US"/>
              </w:rPr>
              <w:t xml:space="preserve">15</w:t>
            </w:r>
            <w:r>
              <w:rPr>
                <w:rStyle w:val="1097"/>
                <w:rFonts w:hint="eastAsia" w:ascii="宋体" w:hAnsi="宋体"/>
                <w:szCs w:val="21"/>
                <w:highlight w:val="none"/>
              </w:rPr>
              <w:t xml:space="preserve">分。</w:t>
            </w:r>
            <w:r/>
          </w:p>
        </w:tc>
        <w:tc>
          <w:tcPr>
            <w:tcW w:w="992" w:type="dxa"/>
            <w:vAlign w:val="center"/>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r>
      <w:tr>
        <w:trPr>
          <w:jc w:val="center"/>
          <w:trHeight w:val="1062"/>
        </w:trPr>
        <w:tc>
          <w:tcPr>
            <w:tcW w:w="1413" w:type="dxa"/>
            <w:vAlign w:val="center"/>
            <w:textDirection w:val="lrTb"/>
            <w:noWrap w:val="false"/>
          </w:tcPr>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各级检查</w:t>
            </w:r>
            <w:r/>
          </w:p>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（1</w:t>
            </w:r>
            <w:r>
              <w:rPr>
                <w:rStyle w:val="1097"/>
                <w:rFonts w:hint="eastAsia" w:ascii="宋体" w:hAnsi="宋体"/>
                <w:szCs w:val="21"/>
                <w:highlight w:val="none"/>
                <w:lang w:val="en-US"/>
              </w:rPr>
              <w:t xml:space="preserve">5</w:t>
            </w:r>
            <w:r>
              <w:rPr>
                <w:rStyle w:val="1097"/>
                <w:rFonts w:hint="eastAsia" w:ascii="宋体" w:hAnsi="宋体"/>
                <w:szCs w:val="21"/>
                <w:highlight w:val="none"/>
              </w:rPr>
              <w:t xml:space="preserve">分）</w:t>
            </w:r>
            <w:r/>
          </w:p>
        </w:tc>
        <w:tc>
          <w:tcPr>
            <w:tcW w:w="4536" w:type="dxa"/>
            <w:vAlign w:val="center"/>
            <w:textDirection w:val="lrTb"/>
            <w:noWrap w:val="false"/>
          </w:tcPr>
          <w:p>
            <w:pPr>
              <w:jc w:val="left"/>
              <w:spacing w:line="360" w:lineRule="exact"/>
              <w:rPr>
                <w:rStyle w:val="1097"/>
                <w:rFonts w:ascii="宋体" w:hAnsi="宋体"/>
                <w:szCs w:val="21"/>
                <w:highlight w:val="none"/>
              </w:rPr>
            </w:pPr>
            <w:r>
              <w:rPr>
                <w:rStyle w:val="1097"/>
                <w:rFonts w:hint="eastAsia" w:ascii="宋体" w:hAnsi="宋体"/>
                <w:szCs w:val="21"/>
                <w:highlight w:val="none"/>
              </w:rPr>
              <w:t xml:space="preserve">主动接受各级检查，顺利通过不失分不受到处罚。</w:t>
            </w:r>
            <w:r/>
          </w:p>
        </w:tc>
        <w:tc>
          <w:tcPr>
            <w:tcW w:w="6095" w:type="dxa"/>
            <w:vAlign w:val="center"/>
            <w:textDirection w:val="lrTb"/>
            <w:noWrap w:val="false"/>
          </w:tcPr>
          <w:p>
            <w:pPr>
              <w:spacing w:line="360" w:lineRule="exact"/>
              <w:rPr>
                <w:rStyle w:val="1097"/>
                <w:rFonts w:ascii="宋体" w:hAnsi="宋体"/>
                <w:szCs w:val="21"/>
                <w:highlight w:val="none"/>
              </w:rPr>
            </w:pPr>
            <w:r>
              <w:rPr>
                <w:rStyle w:val="1097"/>
                <w:rFonts w:hint="eastAsia" w:ascii="宋体" w:hAnsi="宋体"/>
                <w:szCs w:val="21"/>
                <w:highlight w:val="none"/>
              </w:rPr>
              <w:t xml:space="preserve">在国家、省、市、区、镇各级各部门检查中顺利过关，不扣分。</w:t>
            </w:r>
            <w:r/>
          </w:p>
          <w:p>
            <w:pPr>
              <w:spacing w:line="360" w:lineRule="exact"/>
              <w:rPr>
                <w:rStyle w:val="1097"/>
                <w:rFonts w:ascii="宋体" w:hAnsi="宋体"/>
                <w:szCs w:val="21"/>
                <w:highlight w:val="none"/>
              </w:rPr>
            </w:pPr>
            <w:r>
              <w:rPr>
                <w:rStyle w:val="1097"/>
                <w:rFonts w:hint="eastAsia" w:ascii="宋体" w:hAnsi="宋体"/>
                <w:szCs w:val="21"/>
                <w:highlight w:val="none"/>
              </w:rPr>
              <w:t xml:space="preserve">因自身原因导致各项检查扣分的，扣除当</w:t>
            </w:r>
            <w:r>
              <w:rPr>
                <w:rStyle w:val="1097"/>
                <w:rFonts w:hint="eastAsia" w:ascii="宋体" w:hAnsi="宋体"/>
                <w:szCs w:val="21"/>
                <w:highlight w:val="none"/>
                <w:lang w:val="en-US"/>
              </w:rPr>
              <w:t xml:space="preserve">季</w:t>
            </w:r>
            <w:r>
              <w:rPr>
                <w:rStyle w:val="1097"/>
                <w:rFonts w:hint="eastAsia" w:ascii="宋体" w:hAnsi="宋体"/>
                <w:szCs w:val="21"/>
                <w:highlight w:val="none"/>
              </w:rPr>
              <w:t xml:space="preserve">该项得分</w:t>
            </w:r>
            <w:r>
              <w:rPr>
                <w:rStyle w:val="1097"/>
                <w:rFonts w:hint="eastAsia" w:ascii="宋体" w:hAnsi="宋体"/>
                <w:szCs w:val="21"/>
                <w:highlight w:val="none"/>
                <w:lang w:val="en-US"/>
              </w:rPr>
              <w:t xml:space="preserve">15</w:t>
            </w:r>
            <w:r>
              <w:rPr>
                <w:rStyle w:val="1097"/>
                <w:rFonts w:hint="eastAsia" w:ascii="宋体" w:hAnsi="宋体"/>
                <w:szCs w:val="21"/>
                <w:highlight w:val="none"/>
              </w:rPr>
              <w:t xml:space="preserve">分。</w:t>
            </w:r>
            <w:r/>
          </w:p>
        </w:tc>
        <w:tc>
          <w:tcPr>
            <w:tcW w:w="992" w:type="dxa"/>
            <w:vAlign w:val="center"/>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r>
      <w:tr>
        <w:trPr>
          <w:jc w:val="center"/>
          <w:trHeight w:val="1162"/>
        </w:trPr>
        <w:tc>
          <w:tcPr>
            <w:tcW w:w="1413" w:type="dxa"/>
            <w:vAlign w:val="center"/>
            <w:textDirection w:val="lrTb"/>
            <w:noWrap w:val="false"/>
          </w:tcPr>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资料管理</w:t>
            </w:r>
            <w:r/>
          </w:p>
          <w:p>
            <w:pPr>
              <w:jc w:val="center"/>
              <w:spacing w:line="360" w:lineRule="exact"/>
              <w:rPr>
                <w:rStyle w:val="1097"/>
                <w:rFonts w:ascii="宋体" w:hAnsi="宋体"/>
                <w:szCs w:val="21"/>
                <w:highlight w:val="none"/>
              </w:rPr>
            </w:pPr>
            <w:r>
              <w:rPr>
                <w:rStyle w:val="1097"/>
                <w:rFonts w:hint="eastAsia" w:ascii="宋体" w:hAnsi="宋体"/>
                <w:szCs w:val="21"/>
                <w:highlight w:val="none"/>
              </w:rPr>
              <w:t xml:space="preserve">（10分）</w:t>
            </w:r>
            <w:r/>
          </w:p>
        </w:tc>
        <w:tc>
          <w:tcPr>
            <w:tcW w:w="4536" w:type="dxa"/>
            <w:vAlign w:val="center"/>
            <w:textDirection w:val="lrTb"/>
            <w:noWrap w:val="false"/>
          </w:tcPr>
          <w:p>
            <w:pPr>
              <w:jc w:val="left"/>
              <w:spacing w:line="360" w:lineRule="exact"/>
              <w:rPr>
                <w:rStyle w:val="1097"/>
                <w:rFonts w:ascii="宋体" w:hAnsi="宋体"/>
                <w:szCs w:val="21"/>
                <w:highlight w:val="none"/>
              </w:rPr>
            </w:pPr>
            <w:r>
              <w:rPr>
                <w:rStyle w:val="1097"/>
                <w:rFonts w:hint="eastAsia" w:ascii="宋体" w:hAnsi="宋体"/>
                <w:szCs w:val="21"/>
                <w:highlight w:val="none"/>
              </w:rPr>
              <w:t xml:space="preserve">日常运行和维护管理资料齐全。</w:t>
            </w:r>
            <w:r/>
          </w:p>
        </w:tc>
        <w:tc>
          <w:tcPr>
            <w:tcW w:w="6095" w:type="dxa"/>
            <w:vAlign w:val="center"/>
            <w:textDirection w:val="lrTb"/>
            <w:noWrap w:val="false"/>
          </w:tcPr>
          <w:p>
            <w:pPr>
              <w:spacing w:line="360" w:lineRule="exact"/>
              <w:rPr>
                <w:rStyle w:val="1097"/>
                <w:rFonts w:ascii="宋体" w:hAnsi="宋体"/>
                <w:szCs w:val="21"/>
                <w:highlight w:val="none"/>
              </w:rPr>
            </w:pPr>
            <w:r>
              <w:rPr>
                <w:rStyle w:val="1097"/>
                <w:rFonts w:hint="eastAsia" w:ascii="宋体" w:hAnsi="宋体"/>
                <w:szCs w:val="21"/>
                <w:highlight w:val="none"/>
              </w:rPr>
              <w:t xml:space="preserve">当</w:t>
            </w:r>
            <w:r>
              <w:rPr>
                <w:rStyle w:val="1097"/>
                <w:rFonts w:hint="eastAsia" w:ascii="宋体" w:hAnsi="宋体"/>
                <w:szCs w:val="21"/>
                <w:highlight w:val="none"/>
                <w:lang w:val="en-US"/>
              </w:rPr>
              <w:t xml:space="preserve">季</w:t>
            </w:r>
            <w:r>
              <w:rPr>
                <w:rStyle w:val="1097"/>
                <w:rFonts w:hint="eastAsia" w:ascii="宋体" w:hAnsi="宋体"/>
                <w:szCs w:val="21"/>
                <w:highlight w:val="none"/>
              </w:rPr>
              <w:t xml:space="preserve">检查发现一次资料未及时整理、不齐全的，扣5分。</w:t>
            </w:r>
            <w:r/>
          </w:p>
          <w:p>
            <w:pPr>
              <w:spacing w:line="360" w:lineRule="exact"/>
              <w:rPr>
                <w:rStyle w:val="1097"/>
                <w:rFonts w:ascii="宋体" w:hAnsi="宋体"/>
                <w:szCs w:val="21"/>
                <w:highlight w:val="none"/>
              </w:rPr>
            </w:pPr>
            <w:r>
              <w:rPr>
                <w:rStyle w:val="1097"/>
                <w:rFonts w:hint="eastAsia" w:ascii="宋体" w:hAnsi="宋体"/>
                <w:szCs w:val="21"/>
                <w:highlight w:val="none"/>
              </w:rPr>
              <w:t xml:space="preserve">本项最低得分0分。</w:t>
            </w:r>
            <w:r/>
          </w:p>
        </w:tc>
        <w:tc>
          <w:tcPr>
            <w:tcW w:w="992" w:type="dxa"/>
            <w:vAlign w:val="center"/>
            <w:textDirection w:val="lrTb"/>
            <w:noWrap w:val="false"/>
          </w:tcPr>
          <w:p>
            <w:pPr>
              <w:jc w:val="center"/>
              <w:spacing w:line="360" w:lineRule="exact"/>
              <w:rPr>
                <w:rStyle w:val="1097"/>
                <w:rFonts w:ascii="宋体" w:hAnsi="宋体"/>
                <w:szCs w:val="21"/>
                <w:highlight w:val="none"/>
              </w:rPr>
            </w:pPr>
            <w:r>
              <w:rPr>
                <w:rFonts w:ascii="宋体" w:hAnsi="宋体"/>
                <w:szCs w:val="21"/>
                <w:highlight w:val="none"/>
              </w:rPr>
            </w:r>
            <w:r/>
          </w:p>
        </w:tc>
      </w:tr>
    </w:tbl>
    <w:p>
      <w:pPr>
        <w:ind w:firstLine="420"/>
        <w:jc w:val="left"/>
        <w:spacing w:line="360" w:lineRule="auto"/>
        <w:rPr>
          <w:rStyle w:val="1097"/>
          <w:rFonts w:ascii="宋体" w:hAnsi="宋体"/>
          <w:szCs w:val="21"/>
          <w:highlight w:val="none"/>
        </w:rPr>
      </w:pPr>
      <w:r>
        <w:rPr>
          <w:rFonts w:ascii="宋体" w:hAnsi="宋体"/>
          <w:szCs w:val="21"/>
          <w:highlight w:val="none"/>
        </w:rPr>
      </w:r>
      <w:r/>
    </w:p>
    <w:p>
      <w:pPr>
        <w:ind w:firstLine="420"/>
        <w:jc w:val="left"/>
        <w:spacing w:line="360" w:lineRule="auto"/>
        <w:rPr>
          <w:rStyle w:val="1097"/>
          <w:rFonts w:ascii="宋体" w:hAnsi="宋体"/>
          <w:szCs w:val="21"/>
          <w:highlight w:val="none"/>
        </w:rPr>
      </w:pPr>
      <w:r>
        <w:rPr>
          <w:rStyle w:val="1097"/>
          <w:rFonts w:hint="eastAsia" w:ascii="宋体" w:hAnsi="宋体"/>
          <w:szCs w:val="21"/>
          <w:highlight w:val="none"/>
        </w:rPr>
        <w:t xml:space="preserve">考核成员： </w:t>
      </w:r>
      <w:r>
        <w:rPr>
          <w:rStyle w:val="1097"/>
          <w:rFonts w:hint="eastAsia" w:ascii="宋体" w:hAnsi="宋体"/>
          <w:szCs w:val="21"/>
          <w:highlight w:val="none"/>
          <w:u w:val="single"/>
        </w:rPr>
        <w:t xml:space="preserve">                             </w:t>
      </w:r>
      <w:r>
        <w:rPr>
          <w:rStyle w:val="1097"/>
          <w:rFonts w:hint="eastAsia" w:ascii="宋体" w:hAnsi="宋体"/>
          <w:szCs w:val="21"/>
          <w:highlight w:val="none"/>
        </w:rPr>
        <w:t xml:space="preserve">      </w:t>
      </w:r>
      <w:r/>
    </w:p>
    <w:p>
      <w:pPr>
        <w:ind w:firstLine="422"/>
        <w:rPr>
          <w:rStyle w:val="1097"/>
          <w:rFonts w:hint="default" w:ascii="宋体" w:hAnsi="宋体"/>
          <w:b/>
          <w:bCs/>
          <w:szCs w:val="21"/>
          <w:highlight w:val="none"/>
          <w:lang w:val="en-US" w:eastAsia="zh-CN"/>
        </w:rPr>
      </w:pPr>
      <w:r>
        <w:rPr>
          <w:rStyle w:val="1097"/>
          <w:rFonts w:hint="eastAsia" w:ascii="宋体" w:hAnsi="宋体"/>
          <w:b/>
          <w:bCs/>
          <w:szCs w:val="21"/>
          <w:highlight w:val="none"/>
          <w:lang w:val="en-US" w:eastAsia="zh-CN"/>
        </w:rPr>
        <w:t xml:space="preserve">备注：</w:t>
      </w:r>
      <w:r/>
    </w:p>
    <w:p>
      <w:pPr>
        <w:ind w:firstLine="422"/>
        <w:rPr>
          <w:rStyle w:val="1097"/>
          <w:rFonts w:hint="eastAsia" w:ascii="宋体" w:hAnsi="宋体"/>
          <w:b/>
          <w:bCs/>
          <w:szCs w:val="21"/>
          <w:highlight w:val="none"/>
        </w:rPr>
      </w:pPr>
      <w:r>
        <w:rPr>
          <w:rStyle w:val="1097"/>
          <w:rFonts w:hint="eastAsia" w:ascii="宋体" w:hAnsi="宋体"/>
          <w:b/>
          <w:bCs/>
          <w:szCs w:val="21"/>
          <w:highlight w:val="none"/>
          <w:lang w:val="en-US" w:eastAsia="zh-CN"/>
        </w:rPr>
        <w:t xml:space="preserve">100</w:t>
      </w:r>
      <w:r>
        <w:rPr>
          <w:rStyle w:val="1097"/>
          <w:rFonts w:hint="eastAsia" w:ascii="宋体" w:hAnsi="宋体"/>
          <w:b/>
          <w:bCs/>
          <w:szCs w:val="21"/>
          <w:highlight w:val="none"/>
          <w:lang w:eastAsia="zh-CN"/>
        </w:rPr>
        <w:t xml:space="preserve">≥</w:t>
      </w:r>
      <w:r>
        <w:rPr>
          <w:rStyle w:val="1097"/>
          <w:rFonts w:hint="eastAsia" w:ascii="宋体" w:hAnsi="宋体"/>
          <w:b/>
          <w:bCs/>
          <w:szCs w:val="21"/>
          <w:highlight w:val="none"/>
        </w:rPr>
        <w:t xml:space="preserve">考核得分</w:t>
      </w:r>
      <w:r>
        <w:rPr>
          <w:rStyle w:val="1097"/>
          <w:rFonts w:hint="eastAsia" w:ascii="宋体" w:hAnsi="宋体"/>
          <w:b/>
          <w:bCs/>
          <w:szCs w:val="21"/>
          <w:highlight w:val="none"/>
          <w:lang w:eastAsia="zh-CN"/>
        </w:rPr>
        <w:t xml:space="preserve">≥</w:t>
      </w:r>
      <w:r>
        <w:rPr>
          <w:rStyle w:val="1097"/>
          <w:rFonts w:hint="eastAsia" w:ascii="宋体" w:hAnsi="宋体"/>
          <w:b/>
          <w:bCs/>
          <w:szCs w:val="21"/>
          <w:highlight w:val="none"/>
        </w:rPr>
        <w:t xml:space="preserve">9</w:t>
      </w:r>
      <w:r>
        <w:rPr>
          <w:rStyle w:val="1097"/>
          <w:rFonts w:hint="eastAsia" w:ascii="宋体" w:hAnsi="宋体"/>
          <w:b/>
          <w:bCs/>
          <w:szCs w:val="21"/>
          <w:highlight w:val="none"/>
          <w:lang w:val="en-US" w:eastAsia="zh-CN"/>
        </w:rPr>
        <w:t xml:space="preserve">0</w:t>
      </w:r>
      <w:r>
        <w:rPr>
          <w:rStyle w:val="1097"/>
          <w:rFonts w:hint="eastAsia" w:ascii="宋体" w:hAnsi="宋体"/>
          <w:b/>
          <w:bCs/>
          <w:szCs w:val="21"/>
          <w:highlight w:val="none"/>
        </w:rPr>
        <w:t xml:space="preserve">分，全额支付；</w:t>
      </w:r>
      <w:r>
        <w:rPr>
          <w:rStyle w:val="1097"/>
          <w:rFonts w:hint="eastAsia" w:ascii="宋体" w:hAnsi="宋体"/>
          <w:b/>
          <w:bCs/>
          <w:szCs w:val="21"/>
          <w:highlight w:val="none"/>
          <w:lang w:val="en-US" w:eastAsia="zh-CN"/>
        </w:rPr>
        <w:t xml:space="preserve">90分＞</w:t>
      </w:r>
      <w:r>
        <w:rPr>
          <w:rStyle w:val="1097"/>
          <w:rFonts w:hint="eastAsia" w:ascii="宋体" w:hAnsi="宋体"/>
          <w:b/>
          <w:bCs/>
          <w:szCs w:val="21"/>
          <w:highlight w:val="none"/>
        </w:rPr>
        <w:t xml:space="preserve">考核得分</w:t>
      </w:r>
      <w:r>
        <w:rPr>
          <w:rStyle w:val="1097"/>
          <w:rFonts w:hint="eastAsia" w:ascii="宋体" w:hAnsi="宋体"/>
          <w:b/>
          <w:bCs/>
          <w:szCs w:val="21"/>
          <w:highlight w:val="none"/>
          <w:lang w:eastAsia="zh-CN"/>
        </w:rPr>
        <w:t xml:space="preserve">≥</w:t>
      </w:r>
      <w:r>
        <w:rPr>
          <w:rStyle w:val="1097"/>
          <w:rFonts w:hint="eastAsia" w:ascii="宋体" w:hAnsi="宋体"/>
          <w:b/>
          <w:bCs/>
          <w:szCs w:val="21"/>
          <w:highlight w:val="none"/>
          <w:lang w:val="en-US" w:eastAsia="zh-CN"/>
        </w:rPr>
        <w:t xml:space="preserve">80</w:t>
      </w:r>
      <w:r>
        <w:rPr>
          <w:rStyle w:val="1097"/>
          <w:rFonts w:hint="eastAsia" w:ascii="宋体" w:hAnsi="宋体"/>
          <w:b/>
          <w:bCs/>
          <w:szCs w:val="21"/>
          <w:highlight w:val="none"/>
        </w:rPr>
        <w:t xml:space="preserve">分，每失1分扣</w:t>
      </w:r>
      <w:r>
        <w:rPr>
          <w:rStyle w:val="1097"/>
          <w:rFonts w:hint="eastAsia" w:ascii="宋体" w:hAnsi="宋体"/>
          <w:b/>
          <w:bCs/>
          <w:szCs w:val="21"/>
          <w:highlight w:val="none"/>
          <w:lang w:val="en-US"/>
        </w:rPr>
        <w:t xml:space="preserve">5</w:t>
      </w:r>
      <w:r>
        <w:rPr>
          <w:rStyle w:val="1097"/>
          <w:rFonts w:hint="eastAsia" w:ascii="宋体" w:hAnsi="宋体"/>
          <w:b/>
          <w:bCs/>
          <w:szCs w:val="21"/>
          <w:highlight w:val="none"/>
        </w:rPr>
        <w:t xml:space="preserve">00元；考核</w:t>
      </w:r>
      <w:r>
        <w:rPr>
          <w:rStyle w:val="1097"/>
          <w:rFonts w:hint="eastAsia" w:ascii="宋体" w:hAnsi="宋体"/>
          <w:b/>
          <w:bCs/>
          <w:szCs w:val="21"/>
          <w:highlight w:val="none"/>
          <w:lang w:eastAsia="zh-CN"/>
        </w:rPr>
        <w:t xml:space="preserve">得分</w:t>
      </w:r>
      <w:r>
        <w:rPr>
          <w:rStyle w:val="1097"/>
          <w:rFonts w:hint="eastAsia" w:ascii="宋体" w:hAnsi="宋体"/>
          <w:b/>
          <w:bCs/>
          <w:szCs w:val="21"/>
          <w:highlight w:val="none"/>
          <w:lang w:val="en-US" w:eastAsia="zh-CN"/>
        </w:rPr>
        <w:t xml:space="preserve">＜80</w:t>
      </w:r>
      <w:r>
        <w:rPr>
          <w:rStyle w:val="1097"/>
          <w:rFonts w:hint="eastAsia" w:ascii="宋体" w:hAnsi="宋体"/>
          <w:b/>
          <w:bCs/>
          <w:szCs w:val="21"/>
          <w:highlight w:val="none"/>
        </w:rPr>
        <w:t xml:space="preserve">，</w:t>
      </w:r>
      <w:r>
        <w:rPr>
          <w:rStyle w:val="1097"/>
          <w:rFonts w:hint="eastAsia" w:ascii="宋体" w:hAnsi="宋体"/>
          <w:b/>
          <w:bCs/>
          <w:szCs w:val="21"/>
          <w:highlight w:val="none"/>
          <w:lang w:val="en-US" w:eastAsia="zh-CN"/>
        </w:rPr>
        <w:t xml:space="preserve">终止合同</w:t>
      </w:r>
      <w:r>
        <w:rPr>
          <w:rStyle w:val="1097"/>
          <w:rFonts w:hint="eastAsia" w:ascii="宋体" w:hAnsi="宋体"/>
          <w:b/>
          <w:bCs/>
          <w:szCs w:val="21"/>
          <w:highlight w:val="none"/>
        </w:rPr>
        <w:t xml:space="preserve">。</w:t>
      </w:r>
      <w:r/>
    </w:p>
    <w:p>
      <w:pPr>
        <w:ind w:firstLine="422"/>
        <w:rPr>
          <w:rStyle w:val="1097"/>
          <w:rFonts w:hint="eastAsia" w:ascii="宋体" w:hAnsi="宋体"/>
          <w:b/>
          <w:bCs/>
          <w:szCs w:val="21"/>
          <w:highlight w:val="none"/>
        </w:rPr>
      </w:pPr>
      <w:r>
        <w:rPr>
          <w:rFonts w:hint="eastAsia" w:ascii="宋体" w:hAnsi="宋体"/>
          <w:b/>
          <w:bCs/>
          <w:szCs w:val="21"/>
          <w:highlight w:val="none"/>
        </w:rPr>
      </w:r>
      <w:r/>
    </w:p>
    <w:p>
      <w:pPr>
        <w:ind w:firstLine="422"/>
        <w:rPr>
          <w:rStyle w:val="1097"/>
          <w:rFonts w:hint="eastAsia" w:ascii="宋体" w:hAnsi="宋体"/>
          <w:b/>
          <w:bCs/>
          <w:szCs w:val="21"/>
          <w:highlight w:val="none"/>
        </w:rPr>
      </w:pPr>
      <w:r>
        <w:rPr>
          <w:rFonts w:hint="eastAsia" w:ascii="宋体" w:hAnsi="宋体"/>
          <w:b/>
          <w:bCs/>
          <w:szCs w:val="21"/>
          <w:highlight w:val="none"/>
        </w:rPr>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color w:val="000000"/>
          <w:highlight w:val="none"/>
          <w:vertAlign w:val="baseline"/>
          <w:lang w:val="en-US" w:eastAsia="zh-CN"/>
        </w:rPr>
      </w:pPr>
      <w:r>
        <w:rPr>
          <w:rFonts w:hint="default" w:ascii="Times New Roman" w:hAnsi="Times New Roman" w:eastAsia="宋体" w:cs="Times New Roman"/>
          <w:b/>
          <w:bCs/>
          <w:color w:val="000000"/>
          <w:highlight w:val="none"/>
          <w:vertAlign w:val="baseline"/>
          <w:lang w:val="en-US" w:eastAsia="zh-CN"/>
        </w:rPr>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color w:val="000000"/>
          <w:highlight w:val="none"/>
          <w:vertAlign w:val="baseline"/>
          <w:lang w:val="en-US"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default" w:ascii="Times New Roman" w:hAnsi="Times New Roman" w:eastAsia="宋体" w:cs="Times New Roman"/>
          <w:b/>
          <w:bCs/>
          <w:color w:val="000000"/>
          <w:highlight w:val="none"/>
          <w:vertAlign w:val="baseline"/>
          <w:lang w:val="en-US" w:eastAsia="zh-CN"/>
        </w:rPr>
      </w:r>
      <w:r/>
    </w:p>
    <w:p>
      <w:pPr>
        <w:pStyle w:val="1027"/>
        <w:jc w:val="center"/>
        <w:spacing w:line="360" w:lineRule="auto"/>
        <w:rPr>
          <w:rFonts w:hint="eastAsia" w:ascii="宋体" w:hAnsi="宋体"/>
          <w:color w:val="000000"/>
          <w:highlight w:val="none"/>
        </w:rPr>
      </w:pPr>
      <w:r/>
      <w:bookmarkStart w:id="40" w:name="_Toc7772"/>
      <w:r/>
      <w:bookmarkStart w:id="41" w:name="_Toc10645"/>
      <w:r>
        <w:rPr>
          <w:rFonts w:hint="eastAsia" w:ascii="宋体" w:hAnsi="宋体"/>
          <w:color w:val="000000"/>
          <w:highlight w:val="none"/>
        </w:rPr>
        <w:t xml:space="preserve">第五章 评审方法及评审标准</w:t>
      </w:r>
      <w:bookmarkEnd w:id="1"/>
      <w:r/>
      <w:bookmarkEnd w:id="40"/>
      <w:r/>
      <w:bookmarkEnd w:id="41"/>
      <w:r/>
      <w:r/>
    </w:p>
    <w:p>
      <w:pPr>
        <w:ind w:firstLine="482"/>
        <w:jc w:val="left"/>
        <w:spacing w:before="0"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一、评标方法</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1、小微型企业价格扣除</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（1）本项目对小型和微型企业产品给予20%（工程5%）的扣除价格，用扣除后的价格参与评审。</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（2）供应商需按照采购文件的要求提供相应的《中小企业声明函》。</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2、残疾人福利单位价格扣除</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（1）本项目对残疾人福利性单位视同小型、微型企业，给予20%（工程5%）的价格扣除，用扣除后的价格参与评审。</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（2）残疾人福利单位需按照采购文件的要求提供《残疾人福利性单位声明函》。</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（3）残疾人福利单位标准请参照《关于促进残疾人就业政府采购政策的通知》（财库</w:t>
      </w:r>
      <w:r/>
    </w:p>
    <w:p>
      <w:pPr>
        <w:ind w:firstLine="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〔2017〕141号）。</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3、监狱和戒毒企业价格扣除</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（1）本项目对监狱和戒毒企业（简称监狱企业）视同小型、微型企业，给予20%（工程5%）的价格扣除，用扣除后的价格参与评审。</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（2）监狱企业参加政府采购活动时，需提供由省级以上监狱管理局、戒毒管理局(含新</w:t>
      </w:r>
      <w:r/>
    </w:p>
    <w:p>
      <w:pPr>
        <w:ind w:firstLine="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疆生产建设兵团)出具的属于监狱企业的证明文件。供应商如不提供上述证明文件，价格将不做相应扣除。</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（3）监狱企业标准请参照《关于政府采购支持监狱企业发展有关问题的通知》（财库[2014]68号）。</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4、残疾人福利单位、监狱企业属于小型、微型企业的，不重复享受政策。</w:t>
      </w:r>
      <w:r/>
    </w:p>
    <w:p>
      <w:pPr>
        <w:ind w:firstLine="420"/>
        <w:jc w:val="left"/>
        <w:spacing w:before="0"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ind w:left="-2" w:firstLine="422"/>
        <w:jc w:val="left"/>
        <w:spacing w:before="0"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6、联合体各方均为小型、微型企业（残疾人福利单位、监狱企业）的，联合体享受20%（工程5%）价格扣除，用扣除后的价格参与评审。</w:t>
      </w:r>
      <w:r/>
    </w:p>
    <w:p>
      <w:pPr>
        <w:pStyle w:val="878"/>
        <w:rPr>
          <w:rFonts w:hint="eastAsia" w:ascii="宋体" w:hAnsi="宋体" w:eastAsia="宋体" w:cs="宋体"/>
          <w:sz w:val="21"/>
          <w:szCs w:val="21"/>
          <w:highlight w:val="none"/>
        </w:rPr>
      </w:pPr>
      <w:r>
        <w:rPr>
          <w:rFonts w:hint="eastAsia" w:ascii="宋体" w:hAnsi="宋体" w:eastAsia="宋体" w:cs="宋体"/>
          <w:b/>
          <w:bCs/>
          <w:i/>
          <w:iCs/>
          <w:sz w:val="21"/>
          <w:szCs w:val="21"/>
          <w:highlight w:val="none"/>
          <w:u w:val="single"/>
        </w:rPr>
        <w:t xml:space="preserve">本项目专门面向中小微企业采购故价格部分不进行价格扣除。</w:t>
      </w:r>
      <w:r/>
    </w:p>
    <w:p>
      <w:pPr>
        <w:ind w:left="-2" w:firstLine="422"/>
        <w:jc w:val="left"/>
        <w:spacing w:before="0" w:after="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ind w:left="-2" w:firstLine="422"/>
        <w:jc w:val="left"/>
        <w:spacing w:before="0" w:after="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三、评标标准</w:t>
      </w:r>
      <w:r/>
    </w:p>
    <w:tbl>
      <w:tblPr>
        <w:tblStyle w:val="855"/>
        <w:tblpPr w:horzAnchor="page" w:tblpXSpec="center" w:vertAnchor="text" w:tblpY="407" w:leftFromText="180" w:topFromText="0" w:rightFromText="180" w:bottomFromText="0"/>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07"/>
        <w:gridCol w:w="7019"/>
      </w:tblGrid>
      <w:tr>
        <w:trPr>
          <w:trHeight w:val="570"/>
        </w:trPr>
        <w:tc>
          <w:tcPr>
            <w:tcW w:w="785" w:type="pct"/>
            <w:vAlign w:val="center"/>
            <w:textDirection w:val="lrTb"/>
            <w:noWrap w:val="false"/>
          </w:tcPr>
          <w:p>
            <w:pPr>
              <w:pStyle w:val="1096"/>
              <w:jc w:val="center"/>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评审因素</w:t>
            </w:r>
            <w:r/>
          </w:p>
        </w:tc>
        <w:tc>
          <w:tcPr>
            <w:tcW w:w="4214" w:type="pct"/>
            <w:vAlign w:val="center"/>
            <w:textDirection w:val="lrTb"/>
            <w:noWrap w:val="false"/>
          </w:tcPr>
          <w:p>
            <w:pPr>
              <w:pStyle w:val="1096"/>
              <w:ind w:left="2807" w:right="2695"/>
              <w:jc w:val="center"/>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评分标准</w:t>
            </w:r>
            <w:r/>
          </w:p>
        </w:tc>
      </w:tr>
      <w:tr>
        <w:trPr>
          <w:trHeight w:val="868"/>
        </w:trPr>
        <w:tc>
          <w:tcPr>
            <w:tcW w:w="785" w:type="pct"/>
            <w:vAlign w:val="center"/>
            <w:textDirection w:val="lrTb"/>
            <w:noWrap w:val="false"/>
          </w:tcPr>
          <w:p>
            <w:pPr>
              <w:jc w:val="center"/>
              <w:spacing w:line="400" w:lineRule="exact"/>
              <w:rPr>
                <w:rFonts w:hint="eastAsia" w:ascii="宋体" w:hAnsi="宋体"/>
                <w:color w:val="000000"/>
                <w:highlight w:val="none"/>
              </w:rPr>
            </w:pPr>
            <w:r>
              <w:rPr>
                <w:rFonts w:ascii="宋体" w:hAnsi="宋体"/>
                <w:color w:val="000000"/>
                <w:highlight w:val="none"/>
              </w:rPr>
              <w:t xml:space="preserve">报价分</w:t>
            </w:r>
            <w:r/>
          </w:p>
          <w:p>
            <w:pPr>
              <w:jc w:val="center"/>
              <w:spacing w:line="400" w:lineRule="exact"/>
              <w:rPr>
                <w:rFonts w:hint="eastAsia" w:ascii="宋体" w:hAnsi="宋体"/>
                <w:color w:val="000000"/>
                <w:highlight w:val="none"/>
              </w:rPr>
            </w:pPr>
            <w:r>
              <w:rPr>
                <w:rFonts w:ascii="宋体" w:hAnsi="宋体"/>
                <w:color w:val="000000"/>
                <w:highlight w:val="none"/>
              </w:rPr>
              <w:t xml:space="preserve">（</w:t>
            </w:r>
            <w:r>
              <w:rPr>
                <w:color w:val="000000"/>
                <w:highlight w:val="none"/>
              </w:rPr>
              <w:t xml:space="preserve">20</w:t>
            </w:r>
            <w:r>
              <w:rPr>
                <w:rFonts w:ascii="宋体" w:hAnsi="宋体"/>
                <w:color w:val="000000"/>
                <w:highlight w:val="none"/>
              </w:rPr>
              <w:t xml:space="preserve">分）</w:t>
            </w:r>
            <w:r/>
          </w:p>
        </w:tc>
        <w:tc>
          <w:tcPr>
            <w:tcBorders>
              <w:bottom w:val="single" w:color="000000" w:sz="4" w:space="0"/>
            </w:tcBorders>
            <w:tcW w:w="4214" w:type="pct"/>
            <w:vAlign w:val="top"/>
            <w:textDirection w:val="lrTb"/>
            <w:noWrap w:val="false"/>
          </w:tcPr>
          <w:p>
            <w:pPr>
              <w:ind w:left="105"/>
              <w:spacing w:line="400" w:lineRule="exact"/>
              <w:rPr>
                <w:rFonts w:hint="eastAsia" w:ascii="宋体" w:hAnsi="宋体"/>
                <w:color w:val="000000"/>
                <w:highlight w:val="none"/>
              </w:rPr>
            </w:pPr>
            <w:r>
              <w:rPr>
                <w:rFonts w:hint="eastAsia" w:ascii="宋体" w:hAnsi="宋体" w:eastAsia="宋体" w:cs="宋体"/>
                <w:color w:val="000000"/>
                <w:sz w:val="21"/>
                <w:szCs w:val="21"/>
                <w:highlight w:val="none"/>
                <w:lang w:val="en-US" w:eastAsia="zh-CN" w:bidi="ar"/>
              </w:rPr>
              <w:t xml:space="preserve">以满足磋商文件要求且最后报价最低的供应商的价格为磋商基准价，其价格为满分</w:t>
            </w:r>
            <w:r>
              <w:rPr>
                <w:rFonts w:hint="eastAsia" w:ascii="宋体" w:hAnsi="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
              </w:rPr>
              <w:t xml:space="preserve">分。其他供应商的价格分统一按照下列公式计算：磋商报价得分=（磋商基准价/最后磋商报价）×</w:t>
            </w:r>
            <w:r>
              <w:rPr>
                <w:rFonts w:hint="eastAsia" w:ascii="宋体" w:hAnsi="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
              </w:rPr>
              <w:t xml:space="preserve">×100%（保留两位小数）</w:t>
            </w:r>
            <w:r/>
          </w:p>
        </w:tc>
      </w:tr>
      <w:tr>
        <w:trPr>
          <w:trHeight w:val="941"/>
        </w:trPr>
        <w:tc>
          <w:tcPr>
            <w:tcW w:w="785" w:type="pct"/>
            <w:vAlign w:val="center"/>
            <w:textDirection w:val="lrTb"/>
            <w:noWrap w:val="false"/>
          </w:tcPr>
          <w:p>
            <w:pPr>
              <w:jc w:val="center"/>
              <w:spacing w:line="400" w:lineRule="exact"/>
              <w:rPr>
                <w:b/>
                <w:color w:val="auto"/>
                <w:highlight w:val="none"/>
              </w:rPr>
            </w:pPr>
            <w:r/>
            <w:bookmarkStart w:id="42" w:name="_Hlk214282277"/>
            <w:r>
              <w:rPr>
                <w:rFonts w:hint="eastAsia"/>
                <w:b/>
                <w:color w:val="auto"/>
                <w:highlight w:val="none"/>
              </w:rPr>
              <w:t xml:space="preserve">服务方案</w:t>
            </w:r>
            <w:r/>
          </w:p>
          <w:p>
            <w:pPr>
              <w:jc w:val="center"/>
              <w:spacing w:line="400" w:lineRule="exact"/>
              <w:rPr>
                <w:b/>
                <w:color w:val="auto"/>
                <w:highlight w:val="none"/>
              </w:rPr>
            </w:pPr>
            <w:r>
              <w:rPr>
                <w:rFonts w:hint="eastAsia"/>
                <w:b/>
                <w:color w:val="auto"/>
                <w:highlight w:val="none"/>
              </w:rPr>
              <w:t xml:space="preserve">（60分）</w:t>
            </w:r>
            <w:r/>
          </w:p>
          <w:p>
            <w:pPr>
              <w:jc w:val="center"/>
              <w:spacing w:line="400" w:lineRule="exact"/>
              <w:rPr>
                <w:rFonts w:hint="eastAsia" w:ascii="宋体" w:hAnsi="宋体"/>
                <w:b/>
                <w:bCs/>
                <w:color w:val="000000"/>
                <w:highlight w:val="none"/>
              </w:rPr>
            </w:pPr>
            <w:r>
              <w:rPr>
                <w:rFonts w:hint="eastAsia" w:ascii="宋体" w:hAnsi="宋体"/>
                <w:b/>
                <w:bCs/>
                <w:color w:val="000000"/>
                <w:highlight w:val="none"/>
              </w:rPr>
            </w:r>
            <w:r/>
          </w:p>
        </w:tc>
        <w:tc>
          <w:tcPr>
            <w:tcBorders>
              <w:bottom w:val="single" w:color="000000" w:sz="4" w:space="0"/>
            </w:tcBorders>
            <w:tcW w:w="4214" w:type="pct"/>
            <w:vAlign w:val="center"/>
            <w:textDirection w:val="lrTb"/>
            <w:noWrap w:val="false"/>
          </w:tcPr>
          <w:p>
            <w:pPr>
              <w:ind w:left="105"/>
              <w:jc w:val="left"/>
              <w:spacing w:before="120" w:line="400" w:lineRule="exact"/>
              <w:rPr>
                <w:color w:val="000000"/>
                <w:highlight w:val="none"/>
              </w:rPr>
            </w:pPr>
            <w:r>
              <w:rPr>
                <w:color w:val="000000"/>
                <w:highlight w:val="none"/>
              </w:rPr>
              <w:t xml:space="preserve">1</w:t>
            </w:r>
            <w:r>
              <w:rPr>
                <w:rFonts w:hint="eastAsia"/>
                <w:color w:val="000000"/>
                <w:highlight w:val="none"/>
              </w:rPr>
              <w:t xml:space="preserve">.方案总体规划：</w:t>
            </w:r>
            <w:r>
              <w:rPr>
                <w:rFonts w:hint="eastAsia" w:ascii="宋体" w:hAnsi="宋体"/>
                <w:color w:val="000000"/>
                <w:highlight w:val="none"/>
              </w:rPr>
              <w:t xml:space="preserve">包含项目具体的工艺参数、系统分析，并提出合理、可行的运行优化建议与方案。</w:t>
            </w:r>
            <w:r>
              <w:rPr>
                <w:rFonts w:hint="eastAsia"/>
                <w:color w:val="000000"/>
                <w:highlight w:val="none"/>
              </w:rPr>
              <w:t xml:space="preserve">方案</w:t>
            </w:r>
            <w:r>
              <w:rPr>
                <w:rFonts w:hint="eastAsia"/>
                <w:color w:val="000000"/>
                <w:highlight w:val="none"/>
                <w:lang w:val="en-US" w:eastAsia="zh-CN"/>
              </w:rPr>
              <w:t xml:space="preserve">符合</w:t>
            </w:r>
            <w:r>
              <w:rPr>
                <w:rFonts w:hint="eastAsia"/>
                <w:color w:val="000000"/>
                <w:highlight w:val="none"/>
              </w:rPr>
              <w:t xml:space="preserve">招标文件要求的得</w:t>
            </w:r>
            <w:r>
              <w:rPr>
                <w:color w:val="000000"/>
                <w:highlight w:val="none"/>
              </w:rPr>
              <w:t xml:space="preserve">5</w:t>
            </w:r>
            <w:r>
              <w:rPr>
                <w:rFonts w:hint="eastAsia"/>
                <w:color w:val="000000"/>
                <w:highlight w:val="none"/>
              </w:rPr>
              <w:t xml:space="preserve">分，</w:t>
            </w:r>
            <w:r>
              <w:rPr>
                <w:rFonts w:hint="eastAsia"/>
                <w:color w:val="000000"/>
                <w:highlight w:val="none"/>
                <w:lang w:val="en-US" w:eastAsia="zh-CN"/>
              </w:rPr>
              <w:t xml:space="preserve">部分</w:t>
            </w:r>
            <w:r>
              <w:rPr>
                <w:rFonts w:hint="eastAsia"/>
                <w:color w:val="000000"/>
                <w:highlight w:val="none"/>
              </w:rPr>
              <w:t xml:space="preserve">符合招标文件要求的得</w:t>
            </w:r>
            <w:r>
              <w:rPr>
                <w:color w:val="000000"/>
                <w:highlight w:val="none"/>
              </w:rPr>
              <w:t xml:space="preserve">3</w:t>
            </w:r>
            <w:r>
              <w:rPr>
                <w:rFonts w:hint="eastAsia"/>
                <w:color w:val="000000"/>
                <w:highlight w:val="none"/>
              </w:rPr>
              <w:t xml:space="preserve">分，不符合招标文件要求或未提供得</w:t>
            </w:r>
            <w:r>
              <w:rPr>
                <w:color w:val="000000"/>
                <w:highlight w:val="none"/>
              </w:rPr>
              <w:t xml:space="preserve">0</w:t>
            </w:r>
            <w:r>
              <w:rPr>
                <w:rFonts w:hint="eastAsia"/>
                <w:color w:val="000000"/>
                <w:highlight w:val="none"/>
              </w:rPr>
              <w:t xml:space="preserve">分。</w:t>
            </w:r>
            <w:r/>
          </w:p>
          <w:p>
            <w:pPr>
              <w:ind w:left="105"/>
              <w:jc w:val="left"/>
              <w:spacing w:before="120" w:line="400" w:lineRule="exact"/>
              <w:rPr>
                <w:color w:val="000000"/>
                <w:highlight w:val="none"/>
              </w:rPr>
            </w:pPr>
            <w:r>
              <w:rPr>
                <w:color w:val="000000"/>
                <w:highlight w:val="none"/>
              </w:rPr>
              <w:t xml:space="preserve">2</w:t>
            </w:r>
            <w:r>
              <w:rPr>
                <w:rFonts w:hint="eastAsia" w:ascii="宋体" w:hAnsi="宋体"/>
                <w:color w:val="000000"/>
                <w:highlight w:val="none"/>
              </w:rPr>
              <w:t xml:space="preserve">.运营方案</w:t>
            </w:r>
            <w:r>
              <w:rPr>
                <w:rFonts w:hint="eastAsia" w:hAnsi="宋体"/>
                <w:color w:val="000000"/>
                <w:highlight w:val="none"/>
              </w:rPr>
              <w:t xml:space="preserve">：</w:t>
            </w:r>
            <w:r>
              <w:rPr>
                <w:rFonts w:hint="eastAsia"/>
                <w:color w:val="000000"/>
                <w:highlight w:val="none"/>
              </w:rPr>
              <w:t xml:space="preserve">包含运营目标、技术措施、</w:t>
            </w:r>
            <w:r>
              <w:rPr>
                <w:color w:val="000000"/>
                <w:highlight w:val="none"/>
              </w:rPr>
              <w:t xml:space="preserve">达标保障措施</w:t>
            </w:r>
            <w:r>
              <w:rPr>
                <w:rFonts w:hint="eastAsia"/>
                <w:color w:val="000000"/>
                <w:highlight w:val="none"/>
              </w:rPr>
              <w:t xml:space="preserve">、现场文明服务、巡回检查制度、工作安排保证措施、人员配合、协调工作的要求等。方案</w:t>
            </w:r>
            <w:r>
              <w:rPr>
                <w:rFonts w:hint="eastAsia"/>
                <w:color w:val="000000"/>
                <w:highlight w:val="none"/>
                <w:lang w:val="en-US" w:eastAsia="zh-CN"/>
              </w:rPr>
              <w:t xml:space="preserve">符合</w:t>
            </w:r>
            <w:r>
              <w:rPr>
                <w:rFonts w:hint="eastAsia"/>
                <w:color w:val="000000"/>
                <w:highlight w:val="none"/>
              </w:rPr>
              <w:t xml:space="preserve">招标文件要求的得</w:t>
            </w:r>
            <w:r>
              <w:rPr>
                <w:color w:val="000000"/>
                <w:highlight w:val="none"/>
              </w:rPr>
              <w:t xml:space="preserve">5</w:t>
            </w:r>
            <w:r>
              <w:rPr>
                <w:rFonts w:hint="eastAsia"/>
                <w:color w:val="000000"/>
                <w:highlight w:val="none"/>
              </w:rPr>
              <w:t xml:space="preserve">分，</w:t>
            </w:r>
            <w:r>
              <w:rPr>
                <w:rFonts w:hint="eastAsia"/>
                <w:color w:val="000000"/>
                <w:highlight w:val="none"/>
                <w:lang w:val="en-US" w:eastAsia="zh-CN"/>
              </w:rPr>
              <w:t xml:space="preserve">部分</w:t>
            </w:r>
            <w:r>
              <w:rPr>
                <w:rFonts w:hint="eastAsia"/>
                <w:color w:val="000000"/>
                <w:highlight w:val="none"/>
              </w:rPr>
              <w:t xml:space="preserve">符合招标文件要求的得</w:t>
            </w:r>
            <w:r>
              <w:rPr>
                <w:color w:val="000000"/>
                <w:highlight w:val="none"/>
              </w:rPr>
              <w:t xml:space="preserve">3</w:t>
            </w:r>
            <w:r>
              <w:rPr>
                <w:rFonts w:hint="eastAsia"/>
                <w:color w:val="000000"/>
                <w:highlight w:val="none"/>
              </w:rPr>
              <w:t xml:space="preserve">分，不符合招标文件要求或未提供得</w:t>
            </w:r>
            <w:r>
              <w:rPr>
                <w:color w:val="000000"/>
                <w:highlight w:val="none"/>
              </w:rPr>
              <w:t xml:space="preserve">0</w:t>
            </w:r>
            <w:r>
              <w:rPr>
                <w:rFonts w:hint="eastAsia"/>
                <w:color w:val="000000"/>
                <w:highlight w:val="none"/>
              </w:rPr>
              <w:t xml:space="preserve">分。</w:t>
            </w:r>
            <w:r/>
          </w:p>
          <w:p>
            <w:pPr>
              <w:ind w:left="105"/>
              <w:jc w:val="left"/>
              <w:spacing w:before="120" w:line="400" w:lineRule="exact"/>
              <w:rPr>
                <w:rFonts w:hAnsi="宋体"/>
                <w:color w:val="000000"/>
                <w:highlight w:val="none"/>
              </w:rPr>
            </w:pPr>
            <w:r>
              <w:rPr>
                <w:color w:val="000000"/>
                <w:highlight w:val="none"/>
              </w:rPr>
              <w:t xml:space="preserve">3</w:t>
            </w:r>
            <w:r>
              <w:rPr>
                <w:rFonts w:hint="eastAsia" w:hAnsi="宋体"/>
                <w:color w:val="000000"/>
                <w:highlight w:val="none"/>
              </w:rPr>
              <w:t xml:space="preserve">.</w:t>
            </w:r>
            <w:r>
              <w:rPr>
                <w:rFonts w:hint="eastAsia" w:ascii="宋体" w:hAnsi="宋体"/>
                <w:color w:val="000000"/>
                <w:highlight w:val="none"/>
              </w:rPr>
              <w:t xml:space="preserve">系统</w:t>
            </w:r>
            <w:bookmarkStart w:id="43" w:name="OLE_LINK13"/>
            <w:r>
              <w:rPr>
                <w:rFonts w:hint="eastAsia" w:ascii="宋体" w:hAnsi="宋体"/>
                <w:color w:val="000000"/>
                <w:highlight w:val="none"/>
              </w:rPr>
              <w:t xml:space="preserve">运行、维修、保养</w:t>
            </w:r>
            <w:bookmarkEnd w:id="43"/>
            <w:r>
              <w:rPr>
                <w:rFonts w:hint="eastAsia" w:ascii="宋体" w:hAnsi="宋体"/>
                <w:color w:val="000000"/>
                <w:highlight w:val="none"/>
              </w:rPr>
              <w:t xml:space="preserve">：</w:t>
            </w:r>
            <w:bookmarkStart w:id="44" w:name="OLE_LINK4"/>
            <w:r>
              <w:rPr>
                <w:rFonts w:hint="eastAsia" w:hAnsi="宋体"/>
                <w:color w:val="000000"/>
                <w:highlight w:val="none"/>
              </w:rPr>
              <w:t xml:space="preserve">针对项目运营实际情况，提供</w:t>
            </w:r>
            <w:r>
              <w:rPr>
                <w:rFonts w:hint="eastAsia" w:ascii="宋体" w:hAnsi="宋体"/>
                <w:color w:val="000000"/>
                <w:highlight w:val="none"/>
              </w:rPr>
              <w:t xml:space="preserve">运行、维修、保养</w:t>
            </w:r>
            <w:r>
              <w:rPr>
                <w:rFonts w:hint="eastAsia" w:hAnsi="宋体"/>
                <w:color w:val="000000"/>
                <w:highlight w:val="none"/>
              </w:rPr>
              <w:t xml:space="preserve">方案，包括设备管理制度、设备运行、</w:t>
            </w:r>
            <w:r>
              <w:rPr>
                <w:rFonts w:hint="eastAsia" w:ascii="宋体" w:hAnsi="宋体"/>
                <w:color w:val="000000"/>
                <w:highlight w:val="none"/>
              </w:rPr>
              <w:t xml:space="preserve">设备维护、耗材更换</w:t>
            </w:r>
            <w:r>
              <w:rPr>
                <w:rFonts w:hint="eastAsia" w:hAnsi="宋体"/>
                <w:color w:val="000000"/>
                <w:highlight w:val="none"/>
              </w:rPr>
              <w:t xml:space="preserve">等内容。</w:t>
            </w:r>
            <w:bookmarkEnd w:id="44"/>
            <w:r>
              <w:rPr>
                <w:rFonts w:hint="eastAsia"/>
                <w:color w:val="000000"/>
                <w:highlight w:val="none"/>
              </w:rPr>
              <w:t xml:space="preserve">方案</w:t>
            </w:r>
            <w:r>
              <w:rPr>
                <w:rFonts w:hint="eastAsia"/>
                <w:color w:val="000000"/>
                <w:highlight w:val="none"/>
                <w:lang w:val="en-US" w:eastAsia="zh-CN"/>
              </w:rPr>
              <w:t xml:space="preserve">符合</w:t>
            </w:r>
            <w:r>
              <w:rPr>
                <w:rFonts w:hint="eastAsia"/>
                <w:color w:val="000000"/>
                <w:highlight w:val="none"/>
              </w:rPr>
              <w:t xml:space="preserve">招标文件要求的得</w:t>
            </w:r>
            <w:r>
              <w:rPr>
                <w:color w:val="000000"/>
                <w:highlight w:val="none"/>
              </w:rPr>
              <w:t xml:space="preserve">5</w:t>
            </w:r>
            <w:r>
              <w:rPr>
                <w:rFonts w:hint="eastAsia"/>
                <w:color w:val="000000"/>
                <w:highlight w:val="none"/>
              </w:rPr>
              <w:t xml:space="preserve">分，</w:t>
            </w:r>
            <w:r>
              <w:rPr>
                <w:rFonts w:hint="eastAsia"/>
                <w:color w:val="000000"/>
                <w:highlight w:val="none"/>
                <w:lang w:val="en-US" w:eastAsia="zh-CN"/>
              </w:rPr>
              <w:t xml:space="preserve">部分</w:t>
            </w:r>
            <w:r>
              <w:rPr>
                <w:rFonts w:hint="eastAsia"/>
                <w:color w:val="000000"/>
                <w:highlight w:val="none"/>
              </w:rPr>
              <w:t xml:space="preserve">符合招标文件要求的得</w:t>
            </w:r>
            <w:r>
              <w:rPr>
                <w:color w:val="000000"/>
                <w:highlight w:val="none"/>
              </w:rPr>
              <w:t xml:space="preserve">3</w:t>
            </w:r>
            <w:r>
              <w:rPr>
                <w:rFonts w:hint="eastAsia"/>
                <w:color w:val="000000"/>
                <w:highlight w:val="none"/>
              </w:rPr>
              <w:t xml:space="preserve">分，不符合招标文件要求或未提供得</w:t>
            </w:r>
            <w:r>
              <w:rPr>
                <w:color w:val="000000"/>
                <w:highlight w:val="none"/>
              </w:rPr>
              <w:t xml:space="preserve">0</w:t>
            </w:r>
            <w:r>
              <w:rPr>
                <w:rFonts w:hint="eastAsia"/>
                <w:color w:val="000000"/>
                <w:highlight w:val="none"/>
              </w:rPr>
              <w:t xml:space="preserve">分。</w:t>
            </w:r>
            <w:r/>
          </w:p>
          <w:p>
            <w:pPr>
              <w:ind w:left="105"/>
              <w:jc w:val="left"/>
              <w:spacing w:before="120" w:line="400" w:lineRule="exact"/>
              <w:rPr>
                <w:color w:val="000000"/>
                <w:highlight w:val="none"/>
              </w:rPr>
            </w:pPr>
            <w:r>
              <w:rPr>
                <w:color w:val="000000"/>
                <w:highlight w:val="none"/>
              </w:rPr>
              <w:t xml:space="preserve">4</w:t>
            </w:r>
            <w:r>
              <w:rPr>
                <w:rFonts w:hint="eastAsia"/>
                <w:color w:val="000000"/>
                <w:highlight w:val="none"/>
              </w:rPr>
              <w:t xml:space="preserve">.</w:t>
            </w:r>
            <w:r>
              <w:rPr>
                <w:rFonts w:hint="eastAsia" w:ascii="宋体" w:hAnsi="宋体"/>
                <w:color w:val="000000"/>
                <w:highlight w:val="none"/>
              </w:rPr>
              <w:t xml:space="preserve">项目需求理解和重难点分析</w:t>
            </w:r>
            <w:r>
              <w:rPr>
                <w:rFonts w:hint="eastAsia"/>
                <w:color w:val="000000"/>
                <w:highlight w:val="none"/>
              </w:rPr>
              <w:t xml:space="preserve">：</w:t>
            </w:r>
            <w:r>
              <w:rPr>
                <w:rStyle w:val="1097"/>
                <w:rFonts w:hint="eastAsia"/>
                <w:color w:val="000000"/>
                <w:highlight w:val="none"/>
              </w:rPr>
              <w:t xml:space="preserve">包含废水处理的难点、可能出现的问题及解决办法；运营难点分析及对策；特殊运营状况、工艺管理难点等方面。</w:t>
            </w:r>
            <w:r>
              <w:rPr>
                <w:rFonts w:hint="eastAsia"/>
                <w:color w:val="000000"/>
                <w:highlight w:val="none"/>
              </w:rPr>
              <w:t xml:space="preserve">方案</w:t>
            </w:r>
            <w:r>
              <w:rPr>
                <w:rFonts w:hint="eastAsia"/>
                <w:color w:val="000000"/>
                <w:highlight w:val="none"/>
                <w:lang w:val="en-US" w:eastAsia="zh-CN"/>
              </w:rPr>
              <w:t xml:space="preserve">符合</w:t>
            </w:r>
            <w:r>
              <w:rPr>
                <w:rFonts w:hint="eastAsia"/>
                <w:color w:val="000000"/>
                <w:highlight w:val="none"/>
              </w:rPr>
              <w:t xml:space="preserve">招标文件要求的得</w:t>
            </w:r>
            <w:r>
              <w:rPr>
                <w:color w:val="000000"/>
                <w:highlight w:val="none"/>
              </w:rPr>
              <w:t xml:space="preserve">5</w:t>
            </w:r>
            <w:r>
              <w:rPr>
                <w:rFonts w:hint="eastAsia"/>
                <w:color w:val="000000"/>
                <w:highlight w:val="none"/>
              </w:rPr>
              <w:t xml:space="preserve">分，</w:t>
            </w:r>
            <w:r>
              <w:rPr>
                <w:rFonts w:hint="eastAsia"/>
                <w:color w:val="000000"/>
                <w:highlight w:val="none"/>
                <w:lang w:val="en-US" w:eastAsia="zh-CN"/>
              </w:rPr>
              <w:t xml:space="preserve">部分</w:t>
            </w:r>
            <w:r>
              <w:rPr>
                <w:rFonts w:hint="eastAsia"/>
                <w:color w:val="000000"/>
                <w:highlight w:val="none"/>
              </w:rPr>
              <w:t xml:space="preserve">符合招标文件要求的得</w:t>
            </w:r>
            <w:r>
              <w:rPr>
                <w:color w:val="000000"/>
                <w:highlight w:val="none"/>
              </w:rPr>
              <w:t xml:space="preserve">3</w:t>
            </w:r>
            <w:r>
              <w:rPr>
                <w:rFonts w:hint="eastAsia"/>
                <w:color w:val="000000"/>
                <w:highlight w:val="none"/>
              </w:rPr>
              <w:t xml:space="preserve">分，不符合招标文件要求或未提供得</w:t>
            </w:r>
            <w:r>
              <w:rPr>
                <w:color w:val="000000"/>
                <w:highlight w:val="none"/>
              </w:rPr>
              <w:t xml:space="preserve">0</w:t>
            </w:r>
            <w:r>
              <w:rPr>
                <w:rFonts w:hint="eastAsia"/>
                <w:color w:val="000000"/>
                <w:highlight w:val="none"/>
              </w:rPr>
              <w:t xml:space="preserve">分。</w:t>
            </w:r>
            <w:r/>
          </w:p>
          <w:p>
            <w:pPr>
              <w:ind w:left="105"/>
              <w:jc w:val="left"/>
              <w:spacing w:before="120" w:line="400" w:lineRule="exact"/>
              <w:rPr>
                <w:rFonts w:hint="eastAsia"/>
                <w:color w:val="000000"/>
                <w:highlight w:val="none"/>
              </w:rPr>
            </w:pPr>
            <w:r>
              <w:rPr>
                <w:color w:val="000000"/>
                <w:highlight w:val="none"/>
              </w:rPr>
              <w:t xml:space="preserve">5</w:t>
            </w:r>
            <w:r>
              <w:rPr>
                <w:rFonts w:hint="eastAsia"/>
                <w:color w:val="000000"/>
                <w:highlight w:val="none"/>
              </w:rPr>
              <w:t xml:space="preserve">.</w:t>
            </w:r>
            <w:r>
              <w:rPr>
                <w:rStyle w:val="1097"/>
                <w:rFonts w:hint="eastAsia" w:ascii="宋体" w:hAnsi="宋体"/>
                <w:szCs w:val="21"/>
                <w:highlight w:val="none"/>
              </w:rPr>
              <w:t xml:space="preserve">管理制度体系：</w:t>
            </w:r>
            <w:r>
              <w:rPr>
                <w:rStyle w:val="1097"/>
                <w:rFonts w:hint="eastAsia" w:ascii="宋体" w:hAnsi="宋体"/>
                <w:highlight w:val="none"/>
              </w:rPr>
              <w:t xml:space="preserve">包括</w:t>
            </w:r>
            <w:r>
              <w:rPr>
                <w:rStyle w:val="1097"/>
                <w:rFonts w:hint="eastAsia" w:ascii="宋体" w:hAnsi="宋体"/>
                <w:szCs w:val="21"/>
                <w:highlight w:val="none"/>
              </w:rPr>
              <w:t xml:space="preserve">建立健全包括设备场地管理、卫生管理、设备维护管理、各岗位工作职责、交接班制度、岗位责任制、设备维修保养制度等在内的全套规章制度。</w:t>
            </w:r>
            <w:r>
              <w:rPr>
                <w:rFonts w:hint="eastAsia"/>
                <w:color w:val="000000"/>
                <w:highlight w:val="none"/>
              </w:rPr>
              <w:t xml:space="preserve">方案</w:t>
            </w:r>
            <w:r>
              <w:rPr>
                <w:rFonts w:hint="eastAsia"/>
                <w:color w:val="000000"/>
                <w:highlight w:val="none"/>
                <w:lang w:val="en-US" w:eastAsia="zh-CN"/>
              </w:rPr>
              <w:t xml:space="preserve">符合</w:t>
            </w:r>
            <w:r>
              <w:rPr>
                <w:rFonts w:hint="eastAsia"/>
                <w:color w:val="000000"/>
                <w:highlight w:val="none"/>
              </w:rPr>
              <w:t xml:space="preserve">招标文件要求的得</w:t>
            </w:r>
            <w:r>
              <w:rPr>
                <w:color w:val="000000"/>
                <w:highlight w:val="none"/>
              </w:rPr>
              <w:t xml:space="preserve">5</w:t>
            </w:r>
            <w:r>
              <w:rPr>
                <w:rFonts w:hint="eastAsia"/>
                <w:color w:val="000000"/>
                <w:highlight w:val="none"/>
              </w:rPr>
              <w:t xml:space="preserve">分，</w:t>
            </w:r>
            <w:r>
              <w:rPr>
                <w:rFonts w:hint="eastAsia"/>
                <w:color w:val="000000"/>
                <w:highlight w:val="none"/>
                <w:lang w:val="en-US" w:eastAsia="zh-CN"/>
              </w:rPr>
              <w:t xml:space="preserve">部分</w:t>
            </w:r>
            <w:r>
              <w:rPr>
                <w:rFonts w:hint="eastAsia"/>
                <w:color w:val="000000"/>
                <w:highlight w:val="none"/>
              </w:rPr>
              <w:t xml:space="preserve">符合招标文件要求的得</w:t>
            </w:r>
            <w:r>
              <w:rPr>
                <w:color w:val="000000"/>
                <w:highlight w:val="none"/>
              </w:rPr>
              <w:t xml:space="preserve">3</w:t>
            </w:r>
            <w:r>
              <w:rPr>
                <w:rFonts w:hint="eastAsia"/>
                <w:color w:val="000000"/>
                <w:highlight w:val="none"/>
              </w:rPr>
              <w:t xml:space="preserve">分，不符合招标文件要求或未提供得</w:t>
            </w:r>
            <w:r>
              <w:rPr>
                <w:color w:val="000000"/>
                <w:highlight w:val="none"/>
              </w:rPr>
              <w:t xml:space="preserve">0</w:t>
            </w:r>
            <w:r>
              <w:rPr>
                <w:rFonts w:hint="eastAsia"/>
                <w:color w:val="000000"/>
                <w:highlight w:val="none"/>
              </w:rPr>
              <w:t xml:space="preserve">分。</w:t>
            </w:r>
            <w:r/>
          </w:p>
          <w:p>
            <w:pPr>
              <w:ind w:left="105"/>
              <w:jc w:val="left"/>
              <w:spacing w:before="120" w:line="400" w:lineRule="exact"/>
              <w:rPr>
                <w:rFonts w:hint="eastAsia" w:eastAsia="宋体"/>
                <w:color w:val="000000"/>
                <w:highlight w:val="none"/>
                <w:lang w:eastAsia="zh-CN"/>
              </w:rPr>
            </w:pPr>
            <w:r>
              <w:rPr>
                <w:color w:val="000000"/>
                <w:highlight w:val="none"/>
              </w:rPr>
              <w:t xml:space="preserve">6</w:t>
            </w:r>
            <w:r>
              <w:rPr>
                <w:rFonts w:hint="eastAsia"/>
                <w:color w:val="000000"/>
                <w:highlight w:val="none"/>
              </w:rPr>
              <w:t xml:space="preserve">.</w:t>
            </w:r>
            <w:r>
              <w:rPr>
                <w:rStyle w:val="1097"/>
                <w:rFonts w:hint="eastAsia" w:ascii="宋体" w:hAnsi="宋体"/>
                <w:color w:val="000000"/>
                <w:highlight w:val="none"/>
              </w:rPr>
              <w:t xml:space="preserve">质量保证措施</w:t>
            </w:r>
            <w:r>
              <w:rPr>
                <w:rStyle w:val="1097"/>
                <w:rFonts w:hint="eastAsia" w:hAnsi="宋体"/>
                <w:color w:val="000000"/>
                <w:highlight w:val="none"/>
              </w:rPr>
              <w:t xml:space="preserve">：</w:t>
            </w:r>
            <w:r>
              <w:rPr>
                <w:rStyle w:val="1097"/>
                <w:rFonts w:hint="eastAsia" w:ascii="宋体" w:hAnsi="宋体"/>
                <w:color w:val="000000"/>
                <w:highlight w:val="none"/>
              </w:rPr>
              <w:t xml:space="preserve">包含运维组织设计的质量保证措施、整个项目的质量保证体系、质量管理体系流程控制制度、投诉处置流程、质量控制措施、质量管理制度、运维监测部分、水样化验监测等方面</w:t>
            </w:r>
            <w:r>
              <w:rPr>
                <w:rStyle w:val="1097"/>
                <w:rFonts w:hint="eastAsia" w:hAnsi="宋体"/>
                <w:color w:val="000000"/>
                <w:highlight w:val="none"/>
              </w:rPr>
              <w:t xml:space="preserve">。</w:t>
            </w:r>
            <w:r>
              <w:rPr>
                <w:rFonts w:hint="eastAsia"/>
                <w:color w:val="000000"/>
                <w:highlight w:val="none"/>
                <w:lang w:eastAsia="zh-CN"/>
              </w:rPr>
              <w:t xml:space="preserve">方案符合招标文件要求的得5分，部分符合招标文件要求的得3分，不符合招标文件要求或未提供得0分。</w:t>
            </w:r>
            <w:r/>
          </w:p>
          <w:p>
            <w:pPr>
              <w:ind w:left="105"/>
              <w:jc w:val="left"/>
              <w:spacing w:before="120" w:line="400" w:lineRule="exact"/>
              <w:rPr>
                <w:rFonts w:hint="eastAsia" w:eastAsia="宋体"/>
                <w:color w:val="000000"/>
                <w:highlight w:val="none"/>
                <w:lang w:eastAsia="zh-CN"/>
              </w:rPr>
            </w:pPr>
            <w:r>
              <w:rPr>
                <w:rStyle w:val="1097"/>
                <w:rFonts w:ascii="Times New Roman" w:hAnsi="Times New Roman"/>
                <w:color w:val="000000"/>
                <w:highlight w:val="none"/>
              </w:rPr>
              <w:t xml:space="preserve">7</w:t>
            </w:r>
            <w:r>
              <w:rPr>
                <w:rStyle w:val="1097"/>
                <w:rFonts w:hint="eastAsia" w:ascii="宋体" w:hAnsi="宋体"/>
                <w:color w:val="000000"/>
                <w:highlight w:val="none"/>
              </w:rPr>
              <w:t xml:space="preserve">.安全保证措施</w:t>
            </w:r>
            <w:r>
              <w:rPr>
                <w:rStyle w:val="1097"/>
                <w:rFonts w:hint="eastAsia" w:hAnsi="宋体"/>
                <w:color w:val="000000"/>
                <w:highlight w:val="none"/>
              </w:rPr>
              <w:t xml:space="preserve">：</w:t>
            </w:r>
            <w:r>
              <w:rPr>
                <w:rStyle w:val="1097"/>
                <w:rFonts w:hint="eastAsia" w:ascii="宋体" w:hAnsi="宋体"/>
                <w:color w:val="000000"/>
                <w:highlight w:val="none"/>
              </w:rPr>
              <w:t xml:space="preserve">包含安全防护制度、安全防护措施、安全生产体系、安全投入与应急保障、安全保障组织机构图、安全保障检查程序图等方面</w:t>
            </w:r>
            <w:r>
              <w:rPr>
                <w:rStyle w:val="1097"/>
                <w:rFonts w:hint="eastAsia" w:hAnsi="宋体"/>
                <w:color w:val="000000"/>
                <w:highlight w:val="none"/>
              </w:rPr>
              <w:t xml:space="preserve">。</w:t>
            </w:r>
            <w:r>
              <w:rPr>
                <w:rFonts w:hint="eastAsia"/>
                <w:color w:val="000000"/>
                <w:highlight w:val="none"/>
                <w:lang w:eastAsia="zh-CN"/>
              </w:rPr>
              <w:t xml:space="preserve">方案符合招标文件要求的得5分，部分符合招标文件要求的得3分，不符合招标文件要求或未提供得0分。</w:t>
            </w:r>
            <w:r/>
          </w:p>
          <w:p>
            <w:pPr>
              <w:ind w:left="105"/>
              <w:jc w:val="left"/>
              <w:spacing w:before="120" w:line="400" w:lineRule="exact"/>
              <w:rPr>
                <w:rFonts w:hint="eastAsia" w:eastAsia="宋体"/>
                <w:color w:val="000000"/>
                <w:highlight w:val="none"/>
                <w:lang w:eastAsia="zh-CN"/>
              </w:rPr>
            </w:pPr>
            <w:r>
              <w:rPr>
                <w:rStyle w:val="1097"/>
                <w:rFonts w:ascii="Times New Roman" w:hAnsi="Times New Roman"/>
                <w:color w:val="000000"/>
                <w:highlight w:val="none"/>
              </w:rPr>
              <w:t xml:space="preserve">8</w:t>
            </w:r>
            <w:r>
              <w:rPr>
                <w:rStyle w:val="1097"/>
                <w:rFonts w:hint="eastAsia" w:ascii="宋体" w:hAnsi="宋体"/>
                <w:color w:val="000000"/>
                <w:highlight w:val="none"/>
              </w:rPr>
              <w:t xml:space="preserve">.</w:t>
            </w:r>
            <w:r>
              <w:rPr>
                <w:rStyle w:val="1097"/>
                <w:rFonts w:hint="eastAsia" w:ascii="宋体" w:hAnsi="宋体"/>
                <w:color w:val="000000"/>
                <w:szCs w:val="21"/>
                <w:highlight w:val="none"/>
              </w:rPr>
              <w:t xml:space="preserve">环保达标保障</w:t>
            </w:r>
            <w:bookmarkStart w:id="45" w:name="_Hlk214283646"/>
            <w:r>
              <w:rPr>
                <w:rStyle w:val="1097"/>
                <w:rFonts w:hint="eastAsia" w:ascii="宋体" w:hAnsi="宋体"/>
                <w:color w:val="000000"/>
                <w:szCs w:val="21"/>
                <w:highlight w:val="none"/>
              </w:rPr>
              <w:t xml:space="preserve">措施</w:t>
            </w:r>
            <w:bookmarkEnd w:id="45"/>
            <w:r>
              <w:rPr>
                <w:rStyle w:val="1097"/>
                <w:rFonts w:hint="eastAsia" w:ascii="宋体" w:hAnsi="宋体"/>
                <w:color w:val="000000"/>
                <w:szCs w:val="21"/>
                <w:highlight w:val="none"/>
              </w:rPr>
              <w:t xml:space="preserve">：</w:t>
            </w:r>
            <w:r>
              <w:rPr>
                <w:rStyle w:val="1097"/>
                <w:rFonts w:hint="eastAsia" w:ascii="宋体" w:hAnsi="宋体"/>
                <w:color w:val="000000"/>
                <w:highlight w:val="none"/>
              </w:rPr>
              <w:t xml:space="preserve">包含</w:t>
            </w:r>
            <w:r>
              <w:rPr>
                <w:rStyle w:val="1097"/>
                <w:rFonts w:hint="eastAsia" w:ascii="宋体" w:hAnsi="宋体"/>
                <w:color w:val="000000"/>
                <w:szCs w:val="21"/>
                <w:highlight w:val="none"/>
              </w:rPr>
              <w:t xml:space="preserve">全方位、多层级的保障体系，确保出水水质长期、稳定、可靠地达到排放标准，并具备完善的监测手段和应急兜底能力。</w:t>
            </w:r>
            <w:r>
              <w:rPr>
                <w:rFonts w:hint="eastAsia"/>
                <w:color w:val="000000"/>
                <w:highlight w:val="none"/>
                <w:lang w:eastAsia="zh-CN"/>
              </w:rPr>
              <w:t xml:space="preserve">方案符合招标文件要求的得5分，部分符合招标文件要求的得3分，不符合招标文件要求或未提供得0分。</w:t>
            </w:r>
            <w:r/>
          </w:p>
          <w:p>
            <w:pPr>
              <w:ind w:left="105"/>
              <w:jc w:val="left"/>
              <w:spacing w:before="120" w:line="400" w:lineRule="exact"/>
              <w:rPr>
                <w:rFonts w:hint="eastAsia" w:eastAsia="宋体"/>
                <w:color w:val="000000"/>
                <w:highlight w:val="none"/>
                <w:lang w:eastAsia="zh-CN"/>
              </w:rPr>
            </w:pPr>
            <w:r>
              <w:rPr>
                <w:rStyle w:val="1097"/>
                <w:rFonts w:ascii="Times New Roman" w:hAnsi="Times New Roman"/>
                <w:highlight w:val="none"/>
              </w:rPr>
              <w:t xml:space="preserve">9</w:t>
            </w:r>
            <w:r>
              <w:rPr>
                <w:rStyle w:val="1097"/>
                <w:rFonts w:hint="eastAsia" w:ascii="宋体" w:hAnsi="宋体"/>
                <w:highlight w:val="none"/>
              </w:rPr>
              <w:t xml:space="preserve">.</w:t>
            </w:r>
            <w:r>
              <w:rPr>
                <w:rStyle w:val="1097"/>
                <w:rFonts w:hint="eastAsia" w:ascii="宋体" w:hAnsi="宋体"/>
                <w:color w:val="000000"/>
                <w:highlight w:val="none"/>
              </w:rPr>
              <w:t xml:space="preserve">风险管理与应急预案：包含应急预案（意外事故等突发情况、自然灾害等突发情况、火灾事故、设备系统故障、 水质超标条件下、水量超标条件下等）、应急计划等方面。</w:t>
            </w:r>
            <w:r>
              <w:rPr>
                <w:rFonts w:hint="eastAsia"/>
                <w:color w:val="000000"/>
                <w:highlight w:val="none"/>
                <w:lang w:eastAsia="zh-CN"/>
              </w:rPr>
              <w:t xml:space="preserve">方案符合招标文件要求的得5分，部分符合招标文件要求的得3分，不符合招标文件要求或未提供得0分。</w:t>
            </w:r>
            <w:r/>
          </w:p>
          <w:p>
            <w:pPr>
              <w:ind w:left="105"/>
              <w:jc w:val="left"/>
              <w:spacing w:before="120" w:line="400" w:lineRule="exact"/>
              <w:rPr>
                <w:rFonts w:hint="eastAsia" w:eastAsia="宋体"/>
                <w:color w:val="000000"/>
                <w:highlight w:val="none"/>
                <w:lang w:eastAsia="zh-CN"/>
              </w:rPr>
            </w:pPr>
            <w:r>
              <w:rPr>
                <w:highlight w:val="none"/>
              </w:rPr>
              <w:t xml:space="preserve">10</w:t>
            </w:r>
            <w:r>
              <w:rPr>
                <w:rFonts w:hint="eastAsia"/>
                <w:highlight w:val="none"/>
              </w:rPr>
              <w:t xml:space="preserve">.移交方案：包含</w:t>
            </w:r>
            <w:r>
              <w:rPr>
                <w:rFonts w:hint="eastAsia" w:ascii="宋体" w:hAnsi="宋体"/>
                <w:color w:val="000000"/>
                <w:highlight w:val="none"/>
              </w:rPr>
              <w:t xml:space="preserve">对渗滤液处理设施进行全面检查、整理运营资料、培训移交人员等。</w:t>
            </w:r>
            <w:r>
              <w:rPr>
                <w:rFonts w:hint="eastAsia"/>
                <w:color w:val="000000"/>
                <w:highlight w:val="none"/>
                <w:lang w:eastAsia="zh-CN"/>
              </w:rPr>
              <w:t xml:space="preserve">方案符合招标文件要求的得5分，部分符合招标文件要求的得3分，不符合招标文件要求或未提供得0分。</w:t>
            </w:r>
            <w:r/>
          </w:p>
          <w:p>
            <w:pPr>
              <w:ind w:left="105"/>
              <w:jc w:val="left"/>
              <w:spacing w:before="120" w:line="400" w:lineRule="exact"/>
              <w:rPr>
                <w:rFonts w:hint="eastAsia" w:eastAsia="宋体"/>
                <w:color w:val="000000"/>
                <w:highlight w:val="none"/>
                <w:lang w:eastAsia="zh-CN"/>
              </w:rPr>
            </w:pPr>
            <w:r>
              <w:rPr>
                <w:color w:val="000000"/>
                <w:highlight w:val="none"/>
              </w:rPr>
              <w:t xml:space="preserve">1</w:t>
            </w:r>
            <w:r>
              <w:rPr>
                <w:highlight w:val="none"/>
              </w:rPr>
              <w:t xml:space="preserve">1</w:t>
            </w:r>
            <w:r>
              <w:rPr>
                <w:rFonts w:hint="eastAsia"/>
                <w:highlight w:val="none"/>
              </w:rPr>
              <w:t xml:space="preserve">.</w:t>
            </w:r>
            <w:r>
              <w:rPr>
                <w:rFonts w:hint="eastAsia"/>
                <w:color w:val="000000"/>
                <w:highlight w:val="none"/>
              </w:rPr>
              <w:t xml:space="preserve"> 现场运维人员管理及绩效考核方案：包含</w:t>
            </w:r>
            <w:r>
              <w:rPr>
                <w:rFonts w:hint="eastAsia" w:ascii="宋体" w:hAnsi="宋体"/>
                <w:color w:val="000000"/>
                <w:highlight w:val="none"/>
              </w:rPr>
              <w:t xml:space="preserve">对现场的管理、运行人员进行技术培训</w:t>
            </w:r>
            <w:r>
              <w:rPr>
                <w:rFonts w:hint="eastAsia"/>
                <w:color w:val="000000"/>
                <w:highlight w:val="none"/>
              </w:rPr>
              <w:t xml:space="preserve">及</w:t>
            </w:r>
            <w:r>
              <w:rPr>
                <w:color w:val="000000"/>
                <w:highlight w:val="none"/>
              </w:rPr>
              <w:t xml:space="preserve">建立人员管理体系和激励性的绩效机制</w:t>
            </w:r>
            <w:r>
              <w:rPr>
                <w:rFonts w:hint="eastAsia"/>
                <w:color w:val="000000"/>
                <w:highlight w:val="none"/>
              </w:rPr>
              <w:t xml:space="preserve">。</w:t>
            </w:r>
            <w:r>
              <w:rPr>
                <w:rFonts w:hint="eastAsia"/>
                <w:color w:val="000000"/>
                <w:highlight w:val="none"/>
                <w:lang w:eastAsia="zh-CN"/>
              </w:rPr>
              <w:t xml:space="preserve">方案符合招标文件要求的得5分，部分符合招标文件要求的得3分，不符合招标文件要求或未提供得0分。</w:t>
            </w:r>
            <w:r/>
          </w:p>
          <w:p>
            <w:pPr>
              <w:ind w:left="105"/>
              <w:jc w:val="left"/>
              <w:spacing w:before="120" w:line="400" w:lineRule="exact"/>
              <w:rPr>
                <w:rFonts w:hint="eastAsia"/>
                <w:color w:val="000000"/>
                <w:highlight w:val="none"/>
                <w:lang w:eastAsia="zh-CN"/>
              </w:rPr>
            </w:pPr>
            <w:r>
              <w:rPr>
                <w:rStyle w:val="1097"/>
                <w:rFonts w:ascii="Times New Roman" w:hAnsi="Times New Roman"/>
                <w:color w:val="000000"/>
                <w:highlight w:val="none"/>
              </w:rPr>
              <w:t xml:space="preserve">12</w:t>
            </w:r>
            <w:r>
              <w:rPr>
                <w:rStyle w:val="1097"/>
                <w:rFonts w:hint="eastAsia" w:ascii="宋体" w:hAnsi="宋体"/>
                <w:color w:val="000000"/>
                <w:highlight w:val="none"/>
              </w:rPr>
              <w:t xml:space="preserve">.合理化建议：包含技术组合与创新、成本控制与资源化、智能化与数字化管理等方面。</w:t>
            </w:r>
            <w:bookmarkEnd w:id="42"/>
            <w:r>
              <w:rPr>
                <w:rFonts w:hint="eastAsia"/>
                <w:color w:val="000000"/>
                <w:highlight w:val="none"/>
                <w:lang w:eastAsia="zh-CN"/>
              </w:rPr>
              <w:t xml:space="preserve">方案符合招标文件要求的得5分，部分符合招标文件要求的得3分，不符合招标文件要求或未提供得0分。</w:t>
            </w:r>
            <w:r/>
          </w:p>
          <w:p>
            <w:pPr>
              <w:ind w:left="105"/>
              <w:jc w:val="left"/>
              <w:spacing w:before="120" w:line="400" w:lineRule="exact"/>
              <w:rPr>
                <w:rFonts w:hint="default"/>
                <w:color w:val="000000"/>
                <w:highlight w:val="none"/>
                <w:lang w:val="en-US" w:eastAsia="zh-CN"/>
              </w:rPr>
            </w:pPr>
            <w:r>
              <w:rPr>
                <w:rFonts w:hint="eastAsia"/>
                <w:b/>
                <w:bCs/>
                <w:color w:val="000000"/>
                <w:highlight w:val="none"/>
                <w:lang w:val="en-US" w:eastAsia="zh-CN"/>
              </w:rPr>
              <w:t xml:space="preserve">注：完全响应招标文件全部条款为符合招标文件要求，部分响应招标文件全部条款为部分符合招标文件要求，响应文件与招标文件要求有偏离为不符合招标文件要求。</w:t>
            </w:r>
            <w:r/>
          </w:p>
        </w:tc>
      </w:tr>
      <w:tr>
        <w:trPr>
          <w:trHeight w:val="558"/>
        </w:trPr>
        <w:tc>
          <w:tcPr>
            <w:tcW w:w="785" w:type="pct"/>
            <w:vAlign w:val="center"/>
            <w:textDirection w:val="lrTb"/>
            <w:noWrap w:val="false"/>
          </w:tcPr>
          <w:p>
            <w:pPr>
              <w:jc w:val="center"/>
              <w:spacing w:line="400" w:lineRule="exact"/>
              <w:rPr>
                <w:rStyle w:val="1097"/>
                <w:rFonts w:ascii="宋体" w:hAnsi="宋体"/>
                <w:color w:val="000000"/>
                <w:highlight w:val="none"/>
              </w:rPr>
            </w:pPr>
            <w:r>
              <w:rPr>
                <w:rStyle w:val="1097"/>
                <w:rFonts w:hint="eastAsia" w:ascii="宋体" w:hAnsi="宋体"/>
                <w:color w:val="000000"/>
                <w:highlight w:val="none"/>
              </w:rPr>
              <w:t xml:space="preserve">检测报告</w:t>
            </w:r>
            <w:r/>
          </w:p>
          <w:p>
            <w:pPr>
              <w:jc w:val="center"/>
              <w:spacing w:line="400" w:lineRule="exact"/>
              <w:rPr>
                <w:rFonts w:hint="eastAsia" w:ascii="宋体" w:hAnsi="宋体"/>
                <w:color w:val="000000"/>
                <w:highlight w:val="none"/>
              </w:rPr>
            </w:pPr>
            <w:r>
              <w:rPr>
                <w:rStyle w:val="1097"/>
                <w:rFonts w:hint="eastAsia" w:ascii="宋体" w:hAnsi="宋体"/>
                <w:color w:val="000000"/>
                <w:highlight w:val="none"/>
              </w:rPr>
              <w:t xml:space="preserve">（</w:t>
            </w:r>
            <w:r>
              <w:rPr>
                <w:rStyle w:val="1097"/>
                <w:rFonts w:ascii="Times New Roman" w:hAnsi="Times New Roman"/>
                <w:color w:val="000000"/>
                <w:highlight w:val="none"/>
              </w:rPr>
              <w:t xml:space="preserve">6</w:t>
            </w:r>
            <w:r>
              <w:rPr>
                <w:rStyle w:val="1097"/>
                <w:rFonts w:hint="eastAsia" w:ascii="宋体" w:hAnsi="宋体"/>
                <w:color w:val="000000"/>
                <w:highlight w:val="none"/>
              </w:rPr>
              <w:t xml:space="preserve">分）</w:t>
            </w:r>
            <w:r/>
          </w:p>
        </w:tc>
        <w:tc>
          <w:tcPr>
            <w:tcBorders>
              <w:top w:val="single" w:color="000000" w:sz="4" w:space="0"/>
              <w:left w:val="single" w:color="000000" w:sz="4" w:space="0"/>
              <w:bottom w:val="single" w:color="000000" w:sz="4" w:space="0"/>
            </w:tcBorders>
            <w:tcW w:w="4214" w:type="pct"/>
            <w:vAlign w:val="center"/>
            <w:textDirection w:val="lrTb"/>
            <w:noWrap w:val="false"/>
          </w:tcPr>
          <w:p>
            <w:pPr>
              <w:ind w:left="105"/>
              <w:spacing w:line="400" w:lineRule="exact"/>
              <w:rPr>
                <w:rStyle w:val="1097"/>
                <w:rFonts w:hint="eastAsia" w:ascii="宋体" w:hAnsi="宋体"/>
                <w:color w:val="000000"/>
                <w:highlight w:val="none"/>
              </w:rPr>
            </w:pPr>
            <w:r>
              <w:rPr>
                <w:rStyle w:val="1097"/>
                <w:rFonts w:hint="eastAsia" w:ascii="宋体" w:hAnsi="宋体"/>
                <w:color w:val="000000"/>
                <w:highlight w:val="none"/>
              </w:rPr>
              <w:t xml:space="preserve">投标人提供运营处理过的项目产出物（渗滤液）检测报告，检测内容包含：①CODCr（化学需氧量）（mg/L）≤</w:t>
            </w:r>
            <w:r>
              <w:rPr>
                <w:rStyle w:val="1097"/>
                <w:rFonts w:ascii="Times New Roman" w:hAnsi="Times New Roman"/>
                <w:color w:val="000000"/>
                <w:highlight w:val="none"/>
              </w:rPr>
              <w:t xml:space="preserve">500</w:t>
            </w:r>
            <w:r>
              <w:rPr>
                <w:rStyle w:val="1097"/>
                <w:rFonts w:hint="eastAsia" w:ascii="宋体" w:hAnsi="宋体"/>
                <w:color w:val="000000"/>
                <w:highlight w:val="none"/>
              </w:rPr>
              <w:t xml:space="preserve">；②BOD</w:t>
            </w:r>
            <w:r>
              <w:rPr>
                <w:rStyle w:val="1097"/>
                <w:rFonts w:ascii="Times New Roman" w:hAnsi="Times New Roman"/>
                <w:color w:val="000000"/>
                <w:highlight w:val="none"/>
              </w:rPr>
              <w:t xml:space="preserve">5</w:t>
            </w:r>
            <w:r>
              <w:rPr>
                <w:rStyle w:val="1097"/>
                <w:rFonts w:hint="eastAsia" w:ascii="宋体" w:hAnsi="宋体"/>
                <w:color w:val="000000"/>
                <w:highlight w:val="none"/>
              </w:rPr>
              <w:t xml:space="preserve">（生化需氧量）（mg/L）≤</w:t>
            </w:r>
            <w:r>
              <w:rPr>
                <w:rStyle w:val="1097"/>
                <w:rFonts w:ascii="Times New Roman" w:hAnsi="Times New Roman"/>
                <w:color w:val="000000"/>
                <w:highlight w:val="none"/>
              </w:rPr>
              <w:t xml:space="preserve">350</w:t>
            </w:r>
            <w:r>
              <w:rPr>
                <w:rStyle w:val="1097"/>
                <w:rFonts w:hint="eastAsia" w:ascii="宋体" w:hAnsi="宋体"/>
                <w:color w:val="000000"/>
                <w:highlight w:val="none"/>
              </w:rPr>
              <w:t xml:space="preserve">；③悬浮物（mg/L）≤</w:t>
            </w:r>
            <w:r>
              <w:rPr>
                <w:rStyle w:val="1097"/>
                <w:rFonts w:ascii="Times New Roman" w:hAnsi="Times New Roman"/>
                <w:color w:val="000000"/>
                <w:highlight w:val="none"/>
              </w:rPr>
              <w:t xml:space="preserve">400</w:t>
            </w:r>
            <w:r>
              <w:rPr>
                <w:rStyle w:val="1097"/>
                <w:rFonts w:hint="eastAsia" w:ascii="宋体" w:hAnsi="宋体"/>
                <w:color w:val="000000"/>
                <w:highlight w:val="none"/>
              </w:rPr>
              <w:t xml:space="preserve">；④总氮（mg/L）≤</w:t>
            </w:r>
            <w:r>
              <w:rPr>
                <w:rStyle w:val="1097"/>
                <w:rFonts w:ascii="Times New Roman" w:hAnsi="Times New Roman"/>
                <w:color w:val="000000"/>
                <w:highlight w:val="none"/>
              </w:rPr>
              <w:t xml:space="preserve">70</w:t>
            </w:r>
            <w:r>
              <w:rPr>
                <w:rStyle w:val="1097"/>
                <w:rFonts w:hint="eastAsia" w:ascii="宋体" w:hAnsi="宋体"/>
                <w:color w:val="000000"/>
                <w:highlight w:val="none"/>
              </w:rPr>
              <w:t xml:space="preserve">；⑤氨氮（mg/L）≤</w:t>
            </w:r>
            <w:r>
              <w:rPr>
                <w:rStyle w:val="1097"/>
                <w:rFonts w:ascii="Times New Roman" w:hAnsi="Times New Roman"/>
                <w:color w:val="000000"/>
                <w:highlight w:val="none"/>
              </w:rPr>
              <w:t xml:space="preserve">45</w:t>
            </w:r>
            <w:r>
              <w:rPr>
                <w:rStyle w:val="1097"/>
                <w:rFonts w:hint="eastAsia" w:ascii="宋体" w:hAnsi="宋体"/>
                <w:color w:val="000000"/>
                <w:highlight w:val="none"/>
              </w:rPr>
              <w:t xml:space="preserve">；⑥总磷（mg/L）≤</w:t>
            </w:r>
            <w:r>
              <w:rPr>
                <w:rStyle w:val="1097"/>
                <w:rFonts w:ascii="Times New Roman" w:hAnsi="Times New Roman"/>
                <w:color w:val="000000"/>
                <w:highlight w:val="none"/>
              </w:rPr>
              <w:t xml:space="preserve">8</w:t>
            </w:r>
            <w:r>
              <w:rPr>
                <w:rStyle w:val="1097"/>
                <w:rFonts w:hint="eastAsia" w:ascii="宋体" w:hAnsi="宋体"/>
                <w:color w:val="000000"/>
                <w:highlight w:val="none"/>
              </w:rPr>
              <w:t xml:space="preserve">。一项得</w:t>
            </w:r>
            <w:r>
              <w:rPr>
                <w:rStyle w:val="1097"/>
                <w:rFonts w:ascii="Times New Roman" w:hAnsi="Times New Roman"/>
                <w:color w:val="000000"/>
                <w:highlight w:val="none"/>
              </w:rPr>
              <w:t xml:space="preserve">1</w:t>
            </w:r>
            <w:r>
              <w:rPr>
                <w:rStyle w:val="1097"/>
                <w:rFonts w:hint="eastAsia" w:ascii="宋体" w:hAnsi="宋体"/>
                <w:color w:val="000000"/>
                <w:highlight w:val="none"/>
              </w:rPr>
              <w:t xml:space="preserve">分，满分</w:t>
            </w:r>
            <w:r>
              <w:rPr>
                <w:rStyle w:val="1097"/>
                <w:rFonts w:ascii="Times New Roman" w:hAnsi="Times New Roman"/>
                <w:color w:val="000000"/>
                <w:highlight w:val="none"/>
              </w:rPr>
              <w:t xml:space="preserve">6</w:t>
            </w:r>
            <w:r>
              <w:rPr>
                <w:rStyle w:val="1097"/>
                <w:rFonts w:hint="eastAsia" w:ascii="宋体" w:hAnsi="宋体"/>
                <w:color w:val="000000"/>
                <w:highlight w:val="none"/>
              </w:rPr>
              <w:t xml:space="preserve">分。</w:t>
            </w:r>
            <w:r>
              <w:rPr>
                <w:rStyle w:val="1097"/>
                <w:rFonts w:hint="eastAsia" w:ascii="宋体" w:hAnsi="宋体"/>
                <w:b/>
                <w:bCs/>
                <w:color w:val="000000"/>
                <w:highlight w:val="none"/>
              </w:rPr>
              <w:t xml:space="preserve">（提供有效</w:t>
            </w:r>
            <w:r>
              <w:rPr>
                <w:rStyle w:val="1097"/>
                <w:rFonts w:hint="eastAsia" w:ascii="宋体" w:hAnsi="宋体"/>
                <w:b/>
                <w:bCs/>
                <w:color w:val="000000"/>
                <w:highlight w:val="none"/>
                <w:lang w:val="en-US"/>
              </w:rPr>
              <w:t xml:space="preserve">单位自检报告</w:t>
            </w:r>
            <w:r>
              <w:rPr>
                <w:rStyle w:val="1097"/>
                <w:rFonts w:hint="eastAsia" w:ascii="宋体" w:hAnsi="宋体"/>
                <w:b/>
                <w:bCs/>
                <w:color w:val="000000"/>
                <w:highlight w:val="none"/>
              </w:rPr>
              <w:t xml:space="preserve">，原件扫描上传）</w:t>
            </w:r>
            <w:r/>
          </w:p>
        </w:tc>
      </w:tr>
      <w:tr>
        <w:trPr>
          <w:trHeight w:val="942"/>
        </w:trPr>
        <w:tc>
          <w:tcPr>
            <w:tcW w:w="785" w:type="pct"/>
            <w:vAlign w:val="center"/>
            <w:textDirection w:val="lrTb"/>
            <w:noWrap w:val="false"/>
          </w:tcPr>
          <w:p>
            <w:pPr>
              <w:jc w:val="center"/>
              <w:spacing w:line="400" w:lineRule="exact"/>
              <w:rPr>
                <w:rStyle w:val="1097"/>
                <w:rFonts w:ascii="宋体" w:hAnsi="宋体"/>
                <w:color w:val="000000"/>
                <w:highlight w:val="none"/>
              </w:rPr>
            </w:pPr>
            <w:r>
              <w:rPr>
                <w:rStyle w:val="1097"/>
                <w:rFonts w:hint="eastAsia" w:ascii="宋体" w:hAnsi="宋体"/>
                <w:color w:val="000000"/>
                <w:highlight w:val="none"/>
              </w:rPr>
              <w:t xml:space="preserve">项目配备人员实情况</w:t>
            </w:r>
            <w:r/>
          </w:p>
          <w:p>
            <w:pPr>
              <w:jc w:val="center"/>
              <w:spacing w:line="400" w:lineRule="exact"/>
              <w:rPr>
                <w:rStyle w:val="1097"/>
                <w:rFonts w:hint="eastAsia" w:ascii="宋体" w:hAnsi="宋体"/>
                <w:color w:val="000000"/>
                <w:highlight w:val="none"/>
              </w:rPr>
            </w:pPr>
            <w:r>
              <w:rPr>
                <w:rStyle w:val="1097"/>
                <w:rFonts w:hint="eastAsia" w:ascii="宋体" w:hAnsi="宋体"/>
                <w:color w:val="000000"/>
                <w:highlight w:val="none"/>
              </w:rPr>
              <w:t xml:space="preserve">（</w:t>
            </w:r>
            <w:r>
              <w:rPr>
                <w:rStyle w:val="1097"/>
                <w:rFonts w:hint="eastAsia"/>
                <w:color w:val="000000"/>
                <w:highlight w:val="none"/>
                <w:lang w:val="en-US"/>
              </w:rPr>
              <w:t xml:space="preserve">8</w:t>
            </w:r>
            <w:r>
              <w:rPr>
                <w:rStyle w:val="1097"/>
                <w:rFonts w:hint="eastAsia" w:ascii="宋体" w:hAnsi="宋体"/>
                <w:color w:val="000000"/>
                <w:highlight w:val="none"/>
              </w:rPr>
              <w:t xml:space="preserve">分）</w:t>
            </w:r>
            <w:r/>
          </w:p>
        </w:tc>
        <w:tc>
          <w:tcPr>
            <w:tcBorders>
              <w:top w:val="single" w:color="000000" w:sz="4" w:space="0"/>
              <w:left w:val="single" w:color="000000" w:sz="4" w:space="0"/>
              <w:bottom w:val="single" w:color="000000" w:sz="4" w:space="0"/>
            </w:tcBorders>
            <w:tcW w:w="4214" w:type="pct"/>
            <w:vAlign w:val="center"/>
            <w:textDirection w:val="lrTb"/>
            <w:noWrap w:val="false"/>
          </w:tcPr>
          <w:p>
            <w:pPr>
              <w:ind w:left="105"/>
              <w:spacing w:line="400" w:lineRule="exact"/>
              <w:rPr>
                <w:rStyle w:val="1097"/>
                <w:b/>
                <w:bCs/>
                <w:color w:val="000000"/>
                <w:highlight w:val="none"/>
              </w:rPr>
            </w:pPr>
            <w:r>
              <w:rPr>
                <w:rStyle w:val="1097"/>
                <w:rFonts w:hint="eastAsia"/>
                <w:color w:val="000000"/>
                <w:highlight w:val="none"/>
              </w:rPr>
              <w:t xml:space="preserve">项目组成员具备环境工程中级工程师证书或以上的，</w:t>
            </w:r>
            <w:r>
              <w:rPr>
                <w:rStyle w:val="1097"/>
                <w:rFonts w:hint="eastAsia"/>
                <w:color w:val="000000"/>
                <w:highlight w:val="none"/>
              </w:rPr>
              <w:t xml:space="preserve">具备</w:t>
            </w:r>
            <w:r>
              <w:rPr>
                <w:rStyle w:val="1097"/>
                <w:rFonts w:ascii="Times New Roman" w:hAnsi="Times New Roman"/>
                <w:color w:val="000000"/>
                <w:highlight w:val="none"/>
              </w:rPr>
              <w:t xml:space="preserve">1</w:t>
            </w:r>
            <w:r>
              <w:rPr>
                <w:rStyle w:val="1097"/>
                <w:rFonts w:hint="eastAsia"/>
                <w:color w:val="000000"/>
                <w:highlight w:val="none"/>
              </w:rPr>
              <w:t xml:space="preserve">个得</w:t>
            </w:r>
            <w:r>
              <w:rPr>
                <w:rStyle w:val="1097"/>
                <w:rFonts w:ascii="Times New Roman" w:hAnsi="Times New Roman"/>
                <w:color w:val="000000"/>
                <w:highlight w:val="none"/>
              </w:rPr>
              <w:t xml:space="preserve">1</w:t>
            </w:r>
            <w:r>
              <w:rPr>
                <w:rStyle w:val="1097"/>
                <w:rFonts w:hint="eastAsia"/>
                <w:color w:val="000000"/>
                <w:highlight w:val="none"/>
                <w:lang w:val="en-US"/>
              </w:rPr>
              <w:t xml:space="preserve">.5</w:t>
            </w:r>
            <w:r>
              <w:rPr>
                <w:rStyle w:val="1097"/>
                <w:rFonts w:hint="eastAsia"/>
                <w:color w:val="000000"/>
                <w:highlight w:val="none"/>
              </w:rPr>
              <w:t xml:space="preserve">分，最多得</w:t>
            </w:r>
            <w:r>
              <w:rPr>
                <w:rStyle w:val="1097"/>
                <w:rFonts w:hint="eastAsia"/>
                <w:color w:val="000000"/>
                <w:highlight w:val="none"/>
                <w:lang w:val="en-US"/>
              </w:rPr>
              <w:t xml:space="preserve">3</w:t>
            </w:r>
            <w:r>
              <w:rPr>
                <w:rStyle w:val="1097"/>
                <w:rFonts w:hint="eastAsia"/>
                <w:color w:val="000000"/>
                <w:highlight w:val="none"/>
              </w:rPr>
              <w:t xml:space="preserve">分；</w:t>
            </w:r>
            <w:r>
              <w:rPr>
                <w:rStyle w:val="1097"/>
                <w:rFonts w:hint="eastAsia"/>
                <w:color w:val="000000"/>
                <w:highlight w:val="none"/>
              </w:rPr>
              <w:t xml:space="preserve">具备</w:t>
            </w:r>
            <w:r>
              <w:rPr>
                <w:rStyle w:val="1097"/>
                <w:rFonts w:ascii="Times New Roman" w:hAnsi="Times New Roman"/>
                <w:color w:val="000000"/>
                <w:highlight w:val="none"/>
              </w:rPr>
              <w:t xml:space="preserve">1</w:t>
            </w:r>
            <w:r>
              <w:rPr>
                <w:rStyle w:val="1097"/>
                <w:rFonts w:hint="eastAsia"/>
                <w:color w:val="000000"/>
                <w:highlight w:val="none"/>
              </w:rPr>
              <w:t xml:space="preserve">个</w:t>
            </w:r>
            <w:r>
              <w:rPr>
                <w:rStyle w:val="1097"/>
                <w:rFonts w:hint="eastAsia"/>
                <w:color w:val="000000"/>
                <w:highlight w:val="none"/>
              </w:rPr>
              <w:t xml:space="preserve">化学检验员证书的得</w:t>
            </w:r>
            <w:r>
              <w:rPr>
                <w:rStyle w:val="1097"/>
                <w:rFonts w:ascii="Times New Roman" w:hAnsi="Times New Roman"/>
                <w:color w:val="000000"/>
                <w:highlight w:val="none"/>
              </w:rPr>
              <w:t xml:space="preserve">1</w:t>
            </w:r>
            <w:r>
              <w:rPr>
                <w:rStyle w:val="1097"/>
                <w:rFonts w:hint="eastAsia"/>
                <w:color w:val="000000"/>
                <w:highlight w:val="none"/>
              </w:rPr>
              <w:t xml:space="preserve">.</w:t>
            </w:r>
            <w:r>
              <w:rPr>
                <w:rStyle w:val="1097"/>
                <w:rFonts w:ascii="Times New Roman" w:hAnsi="Times New Roman"/>
                <w:color w:val="000000"/>
                <w:highlight w:val="none"/>
              </w:rPr>
              <w:t xml:space="preserve">5</w:t>
            </w:r>
            <w:r>
              <w:rPr>
                <w:rStyle w:val="1097"/>
                <w:rFonts w:hint="eastAsia"/>
                <w:color w:val="000000"/>
                <w:highlight w:val="none"/>
              </w:rPr>
              <w:t xml:space="preserve">分，</w:t>
            </w:r>
            <w:r>
              <w:rPr>
                <w:rStyle w:val="1097"/>
                <w:rFonts w:hint="eastAsia"/>
                <w:color w:val="000000"/>
                <w:highlight w:val="none"/>
              </w:rPr>
              <w:t xml:space="preserve">最多得</w:t>
            </w:r>
            <w:r>
              <w:rPr>
                <w:rStyle w:val="1097"/>
                <w:rFonts w:hint="eastAsia"/>
                <w:color w:val="000000"/>
                <w:highlight w:val="none"/>
                <w:lang w:val="en-US"/>
              </w:rPr>
              <w:t xml:space="preserve">3</w:t>
            </w:r>
            <w:r>
              <w:rPr>
                <w:rStyle w:val="1097"/>
                <w:rFonts w:hint="eastAsia"/>
                <w:color w:val="000000"/>
                <w:highlight w:val="none"/>
              </w:rPr>
              <w:t xml:space="preserve">分</w:t>
            </w:r>
            <w:r>
              <w:rPr>
                <w:rStyle w:val="1097"/>
                <w:rFonts w:hint="eastAsia"/>
                <w:color w:val="000000"/>
                <w:highlight w:val="none"/>
              </w:rPr>
              <w:t xml:space="preserve">；具备维修电工证书的得</w:t>
            </w:r>
            <w:r>
              <w:rPr>
                <w:rStyle w:val="1097"/>
                <w:rFonts w:hint="eastAsia"/>
                <w:color w:val="000000"/>
                <w:highlight w:val="none"/>
                <w:lang w:val="en-US"/>
              </w:rPr>
              <w:t xml:space="preserve">2</w:t>
            </w:r>
            <w:r>
              <w:rPr>
                <w:rStyle w:val="1097"/>
                <w:rFonts w:hint="eastAsia"/>
                <w:color w:val="000000"/>
                <w:highlight w:val="none"/>
              </w:rPr>
              <w:t xml:space="preserve">分</w:t>
            </w:r>
            <w:r>
              <w:rPr>
                <w:rStyle w:val="1097"/>
                <w:rFonts w:hint="eastAsia"/>
                <w:color w:val="000000"/>
                <w:highlight w:val="none"/>
              </w:rPr>
              <w:t xml:space="preserve">。</w:t>
            </w:r>
            <w:r>
              <w:rPr>
                <w:rStyle w:val="1097"/>
                <w:rFonts w:hint="eastAsia"/>
                <w:b/>
                <w:bCs/>
                <w:color w:val="000000"/>
                <w:highlight w:val="none"/>
              </w:rPr>
              <w:t xml:space="preserve">（提供人员有效期内证书及投标人近三个月内任意一个月为其缴纳社保的证明，原件扫描上传）</w:t>
            </w:r>
            <w:r/>
          </w:p>
        </w:tc>
      </w:tr>
      <w:tr>
        <w:trPr>
          <w:trHeight w:val="91"/>
        </w:trPr>
        <w:tc>
          <w:tcPr>
            <w:tcW w:w="785" w:type="pct"/>
            <w:vAlign w:val="center"/>
            <w:textDirection w:val="lrTb"/>
            <w:noWrap w:val="false"/>
          </w:tcPr>
          <w:p>
            <w:pPr>
              <w:jc w:val="center"/>
              <w:spacing w:line="400" w:lineRule="exact"/>
              <w:rPr>
                <w:rStyle w:val="1097"/>
                <w:rFonts w:ascii="宋体" w:hAnsi="宋体"/>
                <w:bCs/>
                <w:color w:val="000000"/>
                <w:highlight w:val="none"/>
              </w:rPr>
            </w:pPr>
            <w:r>
              <w:rPr>
                <w:rStyle w:val="1097"/>
                <w:rFonts w:hint="eastAsia" w:ascii="宋体" w:hAnsi="宋体"/>
                <w:bCs/>
                <w:color w:val="000000"/>
                <w:highlight w:val="none"/>
              </w:rPr>
              <w:t xml:space="preserve">业绩</w:t>
            </w:r>
            <w:r/>
          </w:p>
          <w:p>
            <w:pPr>
              <w:jc w:val="center"/>
              <w:spacing w:line="400" w:lineRule="exact"/>
              <w:rPr>
                <w:rStyle w:val="1097"/>
                <w:rFonts w:hint="eastAsia" w:ascii="宋体" w:hAnsi="宋体"/>
                <w:color w:val="000000"/>
                <w:highlight w:val="none"/>
              </w:rPr>
            </w:pPr>
            <w:r>
              <w:rPr>
                <w:rStyle w:val="1097"/>
                <w:rFonts w:hint="eastAsia" w:ascii="宋体" w:hAnsi="宋体"/>
                <w:bCs/>
                <w:color w:val="000000"/>
                <w:highlight w:val="none"/>
              </w:rPr>
              <w:t xml:space="preserve">（</w:t>
            </w:r>
            <w:r>
              <w:rPr>
                <w:rStyle w:val="1097"/>
                <w:rFonts w:hint="eastAsia"/>
                <w:bCs/>
                <w:color w:val="000000"/>
                <w:highlight w:val="none"/>
                <w:lang w:val="en-US"/>
              </w:rPr>
              <w:t xml:space="preserve">6</w:t>
            </w:r>
            <w:r>
              <w:rPr>
                <w:rStyle w:val="1097"/>
                <w:rFonts w:hint="eastAsia" w:ascii="宋体" w:hAnsi="宋体"/>
                <w:bCs/>
                <w:color w:val="000000"/>
                <w:highlight w:val="none"/>
              </w:rPr>
              <w:t xml:space="preserve">分）</w:t>
            </w:r>
            <w:r/>
          </w:p>
        </w:tc>
        <w:tc>
          <w:tcPr>
            <w:tcBorders>
              <w:top w:val="single" w:color="000000" w:sz="4" w:space="0"/>
              <w:left w:val="single" w:color="000000" w:sz="4" w:space="0"/>
              <w:bottom w:val="single" w:color="000000" w:sz="4" w:space="0"/>
            </w:tcBorders>
            <w:tcW w:w="4214" w:type="pct"/>
            <w:vAlign w:val="top"/>
            <w:textDirection w:val="lrTb"/>
            <w:noWrap w:val="false"/>
          </w:tcPr>
          <w:p>
            <w:pPr>
              <w:ind w:left="105"/>
              <w:jc w:val="left"/>
              <w:spacing w:line="400" w:lineRule="exact"/>
              <w:widowControl/>
              <w:rPr>
                <w:rStyle w:val="1097"/>
                <w:rFonts w:hint="eastAsia" w:ascii="宋体" w:hAnsi="宋体"/>
                <w:color w:val="000000"/>
                <w:highlight w:val="none"/>
              </w:rPr>
            </w:pPr>
            <w:r>
              <w:rPr>
                <w:rStyle w:val="1097"/>
                <w:rFonts w:ascii="Times New Roman" w:hAnsi="Times New Roman"/>
                <w:color w:val="000000"/>
                <w:highlight w:val="none"/>
              </w:rPr>
              <w:t xml:space="preserve">2022</w:t>
            </w:r>
            <w:r>
              <w:rPr>
                <w:rStyle w:val="1097"/>
                <w:rFonts w:hint="eastAsia" w:ascii="宋体" w:hAnsi="宋体"/>
                <w:color w:val="000000"/>
                <w:highlight w:val="none"/>
              </w:rPr>
              <w:t xml:space="preserve">年</w:t>
            </w:r>
            <w:r>
              <w:rPr>
                <w:rStyle w:val="1097"/>
                <w:rFonts w:ascii="Times New Roman" w:hAnsi="Times New Roman"/>
                <w:color w:val="000000"/>
                <w:highlight w:val="none"/>
              </w:rPr>
              <w:t xml:space="preserve">1</w:t>
            </w:r>
            <w:r>
              <w:rPr>
                <w:rStyle w:val="1097"/>
                <w:rFonts w:hint="eastAsia"/>
                <w:color w:val="000000"/>
                <w:highlight w:val="none"/>
                <w:lang w:val="en-US"/>
              </w:rPr>
              <w:t xml:space="preserve">2</w:t>
            </w:r>
            <w:r>
              <w:rPr>
                <w:rStyle w:val="1097"/>
                <w:rFonts w:hint="eastAsia" w:ascii="宋体" w:hAnsi="宋体"/>
                <w:color w:val="000000"/>
                <w:highlight w:val="none"/>
              </w:rPr>
              <w:t xml:space="preserve">月</w:t>
            </w:r>
            <w:r>
              <w:rPr>
                <w:rStyle w:val="1097"/>
                <w:rFonts w:ascii="Times New Roman" w:hAnsi="Times New Roman"/>
                <w:color w:val="000000"/>
                <w:highlight w:val="none"/>
              </w:rPr>
              <w:t xml:space="preserve">1</w:t>
            </w:r>
            <w:r>
              <w:rPr>
                <w:rStyle w:val="1097"/>
                <w:rFonts w:hint="eastAsia" w:ascii="宋体" w:hAnsi="宋体"/>
                <w:color w:val="000000"/>
                <w:highlight w:val="none"/>
              </w:rPr>
              <w:t xml:space="preserve">日至今，供应商承担过类似项目业绩，每提供一个得</w:t>
            </w:r>
            <w:r>
              <w:rPr>
                <w:rStyle w:val="1097"/>
                <w:rFonts w:hint="eastAsia" w:ascii="宋体" w:hAnsi="宋体"/>
                <w:color w:val="000000"/>
                <w:highlight w:val="none"/>
                <w:lang w:val="en-US"/>
              </w:rPr>
              <w:t xml:space="preserve">2</w:t>
            </w:r>
            <w:r>
              <w:rPr>
                <w:rStyle w:val="1097"/>
                <w:rFonts w:hint="eastAsia" w:ascii="宋体" w:hAnsi="宋体"/>
                <w:color w:val="000000"/>
                <w:highlight w:val="none"/>
              </w:rPr>
              <w:t xml:space="preserve">分，</w:t>
            </w:r>
            <w:r>
              <w:rPr>
                <w:rStyle w:val="1097"/>
                <w:rFonts w:hint="eastAsia" w:ascii="宋体" w:hAnsi="宋体"/>
                <w:color w:val="000000"/>
                <w:highlight w:val="none"/>
              </w:rPr>
              <w:t xml:space="preserve">最高得</w:t>
            </w:r>
            <w:r>
              <w:rPr>
                <w:rStyle w:val="1097"/>
                <w:rFonts w:hint="eastAsia"/>
                <w:color w:val="000000"/>
                <w:highlight w:val="none"/>
                <w:lang w:val="en-US"/>
              </w:rPr>
              <w:t xml:space="preserve">6</w:t>
            </w:r>
            <w:r>
              <w:rPr>
                <w:rStyle w:val="1097"/>
                <w:rFonts w:hint="eastAsia" w:ascii="宋体" w:hAnsi="宋体"/>
                <w:color w:val="000000"/>
                <w:highlight w:val="none"/>
              </w:rPr>
              <w:t xml:space="preserve">分</w:t>
            </w:r>
            <w:r>
              <w:rPr>
                <w:rStyle w:val="1097"/>
                <w:rFonts w:hint="eastAsia" w:ascii="宋体" w:hAnsi="宋体"/>
                <w:color w:val="000000"/>
                <w:highlight w:val="none"/>
              </w:rPr>
              <w:t xml:space="preserve">。</w:t>
            </w:r>
            <w:r>
              <w:rPr>
                <w:rStyle w:val="1097"/>
                <w:rFonts w:hint="eastAsia" w:ascii="宋体" w:hAnsi="宋体"/>
                <w:b/>
                <w:bCs/>
                <w:color w:val="000000"/>
                <w:highlight w:val="none"/>
                <w:lang w:val="zh-CN"/>
              </w:rPr>
              <w:t xml:space="preserve">(时间以合同签订时间为准，同一项目续签的业绩不可重复得分，提供合同，原件扫描上传。)</w:t>
            </w:r>
            <w:r/>
          </w:p>
        </w:tc>
      </w:tr>
      <w:tr>
        <w:trPr>
          <w:trHeight w:val="91"/>
        </w:trPr>
        <w:tc>
          <w:tcPr>
            <w:gridSpan w:val="2"/>
            <w:tcW w:w="5000" w:type="pct"/>
            <w:vAlign w:val="center"/>
            <w:textDirection w:val="lrTb"/>
            <w:noWrap w:val="false"/>
          </w:tcPr>
          <w:p>
            <w:pPr>
              <w:ind w:firstLine="420"/>
              <w:jc w:val="left"/>
              <w:spacing w:line="360" w:lineRule="auto"/>
              <w:rPr>
                <w:rFonts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注：</w:t>
            </w:r>
            <w:r/>
          </w:p>
          <w:p>
            <w:pPr>
              <w:ind w:firstLine="420"/>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1、评委应对以上各得分项独立评分，供应商最终得分为所有评委评分汇总的平均值。</w:t>
            </w:r>
            <w:r/>
          </w:p>
          <w:p>
            <w:pPr>
              <w:ind w:firstLine="420"/>
              <w:jc w:val="left"/>
              <w:spacing w:line="400" w:lineRule="exact"/>
              <w:widowControl/>
              <w:rPr>
                <w:rStyle w:val="1097"/>
                <w:rFonts w:ascii="Times New Roman" w:hAnsi="Times New Roman"/>
                <w:color w:val="000000"/>
                <w:highlight w:val="none"/>
              </w:rPr>
            </w:pPr>
            <w:r>
              <w:rPr>
                <w:rFonts w:hint="eastAsia" w:ascii="宋体" w:hAnsi="宋体" w:eastAsia="宋体" w:cs="宋体"/>
                <w:color w:val="000000"/>
                <w:szCs w:val="21"/>
                <w:highlight w:val="none"/>
              </w:rPr>
              <w:t xml:space="preserve">2、以上参与评分的相关证书、合同等其他证明材料，均需以原件扫描件形式上传，否则不得分。</w:t>
            </w:r>
            <w:r/>
          </w:p>
        </w:tc>
      </w:tr>
    </w:tbl>
    <w:p>
      <w:pPr>
        <w:pStyle w:val="1027"/>
        <w:jc w:val="center"/>
        <w:spacing w:line="360" w:lineRule="auto"/>
        <w:rPr>
          <w:rFonts w:ascii="宋体" w:hAnsi="宋体"/>
          <w:color w:val="000000"/>
          <w:sz w:val="36"/>
          <w:highlight w:val="none"/>
        </w:rPr>
      </w:pPr>
      <w:r>
        <w:rPr>
          <w:rFonts w:ascii="宋体" w:hAnsi="宋体"/>
          <w:color w:val="000000"/>
          <w:sz w:val="36"/>
          <w:highlight w:val="none"/>
        </w:rPr>
        <w:br w:type="page" w:clear="all"/>
      </w:r>
      <w:r/>
    </w:p>
    <w:p>
      <w:pPr>
        <w:pStyle w:val="1027"/>
        <w:jc w:val="center"/>
        <w:spacing w:line="360" w:lineRule="auto"/>
        <w:rPr>
          <w:rFonts w:hint="eastAsia" w:ascii="宋体" w:hAnsi="宋体"/>
          <w:color w:val="000000"/>
          <w:sz w:val="52"/>
          <w:highlight w:val="none"/>
        </w:rPr>
      </w:pPr>
      <w:r/>
      <w:bookmarkStart w:id="46" w:name="_Toc11906"/>
      <w:r/>
      <w:bookmarkStart w:id="47" w:name="_Toc7178"/>
      <w:r>
        <w:rPr>
          <w:rFonts w:hint="eastAsia" w:ascii="宋体" w:hAnsi="宋体"/>
          <w:color w:val="000000"/>
          <w:highlight w:val="none"/>
        </w:rPr>
        <w:t xml:space="preserve">第六章 竞争性磋商响应文件格式</w:t>
      </w:r>
      <w:bookmarkEnd w:id="2"/>
      <w:r/>
      <w:bookmarkEnd w:id="46"/>
      <w:r/>
      <w:bookmarkEnd w:id="47"/>
      <w:r/>
      <w:r/>
    </w:p>
    <w:p>
      <w:pPr>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p>
    <w:p>
      <w:pPr>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left"/>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w:t>
      </w:r>
      <w:r/>
    </w:p>
    <w:p>
      <w:pPr>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p>
    <w:p>
      <w:pPr>
        <w:jc w:val="center"/>
        <w:spacing w:line="360" w:lineRule="auto"/>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一、资格审查响应对照表</w:t>
      </w:r>
      <w:r/>
    </w:p>
    <w:p>
      <w:pPr>
        <w:ind w:left="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二、符合性审查响应对照表</w:t>
      </w:r>
      <w:r/>
    </w:p>
    <w:p>
      <w:pPr>
        <w:ind w:left="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三、非实质性响应对照表</w:t>
      </w:r>
      <w:r/>
    </w:p>
    <w:p>
      <w:pPr>
        <w:ind w:firstLine="480"/>
        <w:spacing w:line="360" w:lineRule="auto"/>
        <w:rPr>
          <w:rFonts w:ascii="宋体" w:hAnsi="宋体"/>
          <w:b/>
          <w:bCs/>
          <w:color w:val="000000"/>
          <w:sz w:val="21"/>
          <w:szCs w:val="21"/>
          <w:highlight w:val="none"/>
        </w:rPr>
      </w:pPr>
      <w:r>
        <w:rPr>
          <w:rFonts w:hint="eastAsia" w:ascii="宋体" w:hAnsi="宋体"/>
          <w:color w:val="000000"/>
          <w:sz w:val="21"/>
          <w:szCs w:val="21"/>
          <w:highlight w:val="none"/>
        </w:rPr>
        <w:t xml:space="preserve">四</w:t>
      </w:r>
      <w:r>
        <w:rPr>
          <w:rFonts w:hint="eastAsia" w:ascii="宋体" w:hAnsi="宋体"/>
          <w:b/>
          <w:bCs/>
          <w:color w:val="000000"/>
          <w:sz w:val="21"/>
          <w:szCs w:val="21"/>
          <w:highlight w:val="none"/>
        </w:rPr>
        <w:t xml:space="preserve">、</w:t>
      </w:r>
      <w:r>
        <w:rPr>
          <w:rFonts w:hint="eastAsia" w:ascii="宋体" w:hAnsi="宋体"/>
          <w:i/>
          <w:color w:val="000000"/>
          <w:sz w:val="21"/>
          <w:szCs w:val="21"/>
          <w:highlight w:val="none"/>
          <w:u w:val="single"/>
        </w:rPr>
        <w:t xml:space="preserve">磋商响应报价表</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五、技术参数响应及偏离表</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六</w:t>
      </w:r>
      <w:r>
        <w:rPr>
          <w:rFonts w:hint="eastAsia" w:ascii="宋体" w:hAnsi="宋体" w:cs="Courier New"/>
          <w:color w:val="000000"/>
          <w:sz w:val="21"/>
          <w:szCs w:val="21"/>
          <w:highlight w:val="none"/>
        </w:rPr>
        <w:t xml:space="preserve">、</w:t>
      </w:r>
      <w:r>
        <w:rPr>
          <w:rFonts w:hint="eastAsia" w:ascii="宋体" w:hAnsi="宋体"/>
          <w:color w:val="000000"/>
          <w:sz w:val="21"/>
          <w:szCs w:val="21"/>
          <w:highlight w:val="none"/>
        </w:rPr>
        <w:t xml:space="preserve">商务条款响应及偏离表</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七、其他 （供应商认为有必要提供的声明和文件，如有自拟并自行添加）</w:t>
      </w:r>
      <w:r/>
    </w:p>
    <w:p>
      <w:pPr>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依法缴纳职工社会保障资金的证明材料</w:t>
            </w:r>
            <w:r>
              <w:rPr>
                <w:rFonts w:hint="eastAsia" w:ascii="宋体" w:hAnsi="宋体" w:eastAsia="宋体" w:cs="宋体"/>
                <w:b/>
                <w:bCs/>
                <w:color w:val="000000"/>
                <w:szCs w:val="21"/>
                <w:highlight w:val="none"/>
              </w:rPr>
              <w:t xml:space="preserve">(税务、银行或社会保险基金管理部门出具的</w:t>
            </w:r>
            <w:r>
              <w:rPr>
                <w:rFonts w:hint="eastAsia" w:ascii="宋体" w:hAnsi="宋体" w:eastAsia="宋体" w:cs="宋体"/>
                <w:b/>
                <w:bCs/>
                <w:color w:val="000000"/>
                <w:szCs w:val="21"/>
                <w:highlight w:val="none"/>
                <w:lang w:val="en-US" w:eastAsia="zh-CN"/>
              </w:rPr>
              <w:t xml:space="preserve">近</w:t>
            </w:r>
            <w:r>
              <w:rPr>
                <w:rFonts w:hint="eastAsia" w:ascii="宋体" w:hAnsi="宋体" w:eastAsia="宋体" w:cs="宋体"/>
                <w:b/>
                <w:bCs/>
                <w:color w:val="000000"/>
                <w:szCs w:val="21"/>
                <w:highlight w:val="none"/>
              </w:rPr>
              <w:t xml:space="preserve">一个月缴纳职工社会保障资金的缴款凭证或缴款证明)（可提供“基本资格条件承诺函”）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供应商近三个月内任意一份依法纳税的缴款凭证（可提供“基本资格条件承诺函”）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上一年度的财务状况情况</w:t>
            </w:r>
            <w:r>
              <w:rPr>
                <w:rFonts w:hint="eastAsia" w:ascii="宋体" w:hAnsi="宋体" w:eastAsia="宋体" w:cs="宋体"/>
                <w:b/>
                <w:bCs/>
                <w:color w:val="000000"/>
                <w:szCs w:val="21"/>
                <w:highlight w:val="none"/>
              </w:rPr>
              <w:t xml:space="preserve">（成立不满一年不需提供）（可提供“基本资格条件承诺函”）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5447"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4"/>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5447"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供应商信用承诺函</w:t>
            </w:r>
            <w:r/>
          </w:p>
        </w:tc>
        <w:tc>
          <w:tcPr>
            <w:tcW w:w="215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9</w:t>
            </w:r>
            <w:r/>
          </w:p>
        </w:tc>
        <w:tc>
          <w:tcPr>
            <w:tcW w:w="54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落实政府采购政策需满足的资格要求：</w:t>
            </w:r>
            <w:r>
              <w:rPr>
                <w:rFonts w:hint="eastAsia" w:ascii="宋体" w:hAnsi="宋体" w:eastAsia="宋体" w:cs="宋体"/>
                <w:color w:val="000000"/>
                <w:sz w:val="21"/>
                <w:szCs w:val="21"/>
                <w:highlight w:val="none"/>
                <w:lang w:val="en-US" w:eastAsia="zh-CN" w:bidi="ar"/>
              </w:rPr>
              <w:t xml:space="preserve">详见公告</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389"/>
        </w:trPr>
        <w:tc>
          <w:tcPr>
            <w:tcW w:w="6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w:t>
            </w:r>
            <w:r/>
          </w:p>
        </w:tc>
        <w:tc>
          <w:tcPr>
            <w:tcW w:w="54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iCs/>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特定资格条件：</w:t>
            </w:r>
            <w:r>
              <w:rPr>
                <w:rFonts w:hint="eastAsia" w:ascii="宋体" w:hAnsi="宋体" w:eastAsia="宋体" w:cs="宋体"/>
                <w:iCs/>
                <w:color w:val="000000"/>
                <w:sz w:val="21"/>
                <w:szCs w:val="21"/>
                <w:highlight w:val="none"/>
                <w:lang w:val="en-US" w:eastAsia="zh-CN" w:bidi="ar"/>
              </w:rPr>
              <w:t xml:space="preserve">详见公告</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00"/>
        </w:trPr>
        <w:tc>
          <w:tcPr>
            <w:tcW w:w="64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11</w:t>
            </w:r>
            <w:r/>
          </w:p>
        </w:tc>
        <w:tc>
          <w:tcPr>
            <w:tcW w:w="5447"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其他资格条件</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rPr>
            </w:r>
            <w:r/>
          </w:p>
        </w:tc>
      </w:tr>
      <w:tr>
        <w:trPr>
          <w:trHeight w:val="400"/>
        </w:trPr>
        <w:tc>
          <w:tcPr>
            <w:tcW w:w="6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5447"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iCs/>
                <w:color w:val="000000"/>
                <w:sz w:val="21"/>
                <w:szCs w:val="21"/>
                <w:highlight w:val="none"/>
              </w:rPr>
              <w:suppressLineNumbers w:val="0"/>
            </w:pPr>
            <w:r>
              <w:rPr>
                <w:rFonts w:hint="eastAsia" w:ascii="宋体" w:hAnsi="宋体" w:eastAsia="宋体" w:cs="宋体"/>
                <w:iCs/>
                <w:color w:val="000000"/>
                <w:sz w:val="21"/>
                <w:szCs w:val="21"/>
                <w:highlight w:val="none"/>
                <w:lang w:val="en-US" w:eastAsia="zh-CN" w:bidi="ar"/>
              </w:rPr>
              <w:t xml:space="preserve">磋商响应函</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00"/>
        </w:trPr>
        <w:tc>
          <w:tcPr>
            <w:tcW w:w="6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5447"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iCs/>
                <w:color w:val="000000"/>
                <w:sz w:val="21"/>
                <w:szCs w:val="21"/>
                <w:highlight w:val="none"/>
              </w:rPr>
              <w:suppressLineNumbers w:val="0"/>
            </w:pPr>
            <w:r>
              <w:rPr>
                <w:rFonts w:hint="eastAsia" w:ascii="宋体" w:hAnsi="宋体" w:eastAsia="宋体" w:cs="宋体"/>
                <w:iCs/>
                <w:color w:val="000000"/>
                <w:sz w:val="21"/>
                <w:szCs w:val="21"/>
                <w:highlight w:val="none"/>
                <w:lang w:val="en-US" w:eastAsia="zh-CN" w:bidi="ar"/>
              </w:rPr>
              <w:t xml:space="preserve">法人授权书</w:t>
            </w:r>
            <w:r/>
          </w:p>
        </w:tc>
        <w:tc>
          <w:tcPr>
            <w:tcW w:w="215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r>
      <w:r/>
    </w:p>
    <w:p>
      <w:pPr>
        <w:jc w:val="center"/>
        <w:spacing w:line="500" w:lineRule="exact"/>
        <w:rPr>
          <w:rFonts w:ascii="宋体" w:hAnsi="宋体"/>
          <w:b/>
          <w:color w:val="000000"/>
          <w:szCs w:val="21"/>
          <w:highlight w:val="none"/>
        </w:rPr>
      </w:pPr>
      <w:r>
        <w:rPr>
          <w:rFonts w:ascii="宋体" w:hAnsi="宋体"/>
          <w:b/>
          <w:color w:val="000000"/>
          <w:szCs w:val="21"/>
          <w:highlight w:val="none"/>
        </w:rPr>
        <w:br w:type="page" w:clear="all"/>
      </w:r>
      <w:r>
        <w:rPr>
          <w:rFonts w:ascii="宋体" w:hAnsi="宋体"/>
          <w:b/>
          <w:color w:val="000000"/>
          <w:szCs w:val="21"/>
          <w:highlight w:val="none"/>
        </w:rPr>
        <w:t xml:space="preserve">基本资格条件承诺函</w:t>
      </w:r>
      <w:r/>
    </w:p>
    <w:p>
      <w:pPr>
        <w:spacing w:line="530" w:lineRule="exact"/>
        <w:tabs>
          <w:tab w:val="left" w:pos="6300" w:leader="none"/>
        </w:tabs>
        <w:rPr>
          <w:color w:val="000000"/>
          <w:sz w:val="24"/>
          <w:highlight w:val="none"/>
        </w:rPr>
      </w:pPr>
      <w:r>
        <w:rPr>
          <w:color w:val="000000"/>
          <w:sz w:val="24"/>
          <w:highlight w:val="none"/>
        </w:rPr>
      </w:r>
      <w:r/>
    </w:p>
    <w:p>
      <w:pPr>
        <w:ind w:firstLine="420"/>
        <w:spacing w:line="560" w:lineRule="exact"/>
        <w:rPr>
          <w:rFonts w:ascii="宋体" w:hAnsi="宋体"/>
          <w:color w:val="000000"/>
          <w:szCs w:val="21"/>
          <w:highlight w:val="none"/>
        </w:rPr>
      </w:pPr>
      <w:r>
        <w:rPr>
          <w:rFonts w:ascii="宋体" w:hAnsi="宋体"/>
          <w:color w:val="000000"/>
          <w:szCs w:val="21"/>
          <w:highlight w:val="none"/>
        </w:rPr>
        <w:t xml:space="preserve">致                   （采购代理机构名称）：</w:t>
      </w:r>
      <w:r/>
    </w:p>
    <w:p>
      <w:pPr>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我公司自愿参加</w:t>
      </w:r>
      <w:r>
        <w:rPr>
          <w:rFonts w:ascii="宋体" w:hAnsi="宋体"/>
          <w:color w:val="000000"/>
          <w:szCs w:val="21"/>
          <w:highlight w:val="none"/>
        </w:rPr>
        <w:t xml:space="preserve">                   （</w:t>
      </w:r>
      <w:r>
        <w:rPr>
          <w:rFonts w:hint="eastAsia" w:ascii="宋体" w:hAnsi="宋体"/>
          <w:color w:val="000000"/>
          <w:szCs w:val="21"/>
          <w:highlight w:val="none"/>
        </w:rPr>
        <w:t xml:space="preserve">项目</w:t>
      </w:r>
      <w:r>
        <w:rPr>
          <w:rFonts w:ascii="宋体" w:hAnsi="宋体"/>
          <w:color w:val="000000"/>
          <w:szCs w:val="21"/>
          <w:highlight w:val="none"/>
        </w:rPr>
        <w:t xml:space="preserve">名称）</w:t>
      </w:r>
      <w:r>
        <w:rPr>
          <w:rFonts w:hint="eastAsia" w:ascii="宋体" w:hAnsi="宋体"/>
          <w:color w:val="000000"/>
          <w:szCs w:val="21"/>
          <w:highlight w:val="none"/>
        </w:rPr>
        <w:t xml:space="preserve">政府采购活动，并</w:t>
      </w:r>
      <w:r>
        <w:rPr>
          <w:rFonts w:ascii="宋体" w:hAnsi="宋体"/>
          <w:color w:val="000000"/>
          <w:szCs w:val="21"/>
          <w:highlight w:val="none"/>
        </w:rPr>
        <w:t xml:space="preserve">郑重承诺：</w:t>
      </w:r>
      <w:r/>
    </w:p>
    <w:p>
      <w:pPr>
        <w:ind w:firstLine="420"/>
        <w:spacing w:line="560" w:lineRule="exact"/>
        <w:rPr>
          <w:rFonts w:ascii="宋体" w:hAnsi="宋体"/>
          <w:color w:val="000000"/>
          <w:szCs w:val="21"/>
          <w:highlight w:val="none"/>
        </w:rPr>
      </w:pPr>
      <w:r>
        <w:rPr>
          <w:rFonts w:ascii="宋体" w:hAnsi="宋体"/>
          <w:color w:val="000000"/>
          <w:szCs w:val="21"/>
          <w:highlight w:val="none"/>
        </w:rPr>
        <w:t xml:space="preserve">1.我方具有良好的商业信誉和健全的财务会计制度，具有履行合同所必需的设备和专业技术能力，具</w:t>
      </w:r>
      <w:r>
        <w:rPr>
          <w:rFonts w:ascii="宋体" w:hAnsi="宋体"/>
          <w:color w:val="000000"/>
          <w:szCs w:val="21"/>
          <w:highlight w:val="none"/>
          <w:lang w:val="zh-CN"/>
        </w:rPr>
        <w:t xml:space="preserve">有依法缴纳税收和社会保障金的良好记录</w:t>
      </w:r>
      <w:r>
        <w:rPr>
          <w:rFonts w:ascii="宋体" w:hAnsi="宋体"/>
          <w:color w:val="000000"/>
          <w:szCs w:val="21"/>
          <w:highlight w:val="none"/>
        </w:rPr>
        <w:t xml:space="preserve">，参加本项目采购活动前三年内无重大违法活动记录。</w:t>
      </w:r>
      <w:r/>
    </w:p>
    <w:p>
      <w:pPr>
        <w:ind w:firstLine="420"/>
        <w:spacing w:line="560" w:lineRule="exact"/>
        <w:rPr>
          <w:rFonts w:ascii="宋体" w:hAnsi="宋体"/>
          <w:color w:val="000000"/>
          <w:szCs w:val="21"/>
          <w:highlight w:val="none"/>
        </w:rPr>
      </w:pPr>
      <w:r>
        <w:rPr>
          <w:rFonts w:ascii="宋体" w:hAnsi="宋体"/>
          <w:color w:val="000000"/>
          <w:szCs w:val="21"/>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000000"/>
          <w:szCs w:val="21"/>
          <w:highlight w:val="none"/>
        </w:rPr>
      </w:pPr>
      <w:r>
        <w:rPr>
          <w:rFonts w:ascii="宋体" w:hAnsi="宋体"/>
          <w:color w:val="000000"/>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szCs w:val="21"/>
          <w:highlight w:val="none"/>
        </w:rPr>
      </w:pPr>
      <w:r>
        <w:rPr>
          <w:rFonts w:ascii="宋体" w:hAnsi="宋体"/>
          <w:color w:val="000000"/>
          <w:szCs w:val="21"/>
          <w:highlight w:val="none"/>
        </w:rPr>
        <w:t xml:space="preserve">我方对以上承诺负全部法律责任。</w:t>
      </w:r>
      <w:r/>
    </w:p>
    <w:p>
      <w:pPr>
        <w:ind w:firstLine="420"/>
        <w:spacing w:line="560" w:lineRule="exact"/>
        <w:rPr>
          <w:rFonts w:ascii="宋体" w:hAnsi="宋体"/>
          <w:color w:val="000000"/>
          <w:szCs w:val="21"/>
          <w:highlight w:val="none"/>
        </w:rPr>
      </w:pPr>
      <w:r>
        <w:rPr>
          <w:rFonts w:ascii="宋体" w:hAnsi="宋体"/>
          <w:color w:val="000000"/>
          <w:szCs w:val="21"/>
          <w:highlight w:val="none"/>
        </w:rPr>
        <w:t xml:space="preserve">特此承诺。</w:t>
      </w:r>
      <w:r/>
    </w:p>
    <w:p>
      <w:pPr>
        <w:ind w:firstLine="420"/>
        <w:spacing w:line="560" w:lineRule="exact"/>
        <w:rPr>
          <w:rFonts w:ascii="宋体" w:hAnsi="宋体"/>
          <w:color w:val="000000"/>
          <w:szCs w:val="21"/>
          <w:highlight w:val="none"/>
        </w:rPr>
      </w:pPr>
      <w:r>
        <w:rPr>
          <w:rFonts w:ascii="宋体" w:hAnsi="宋体"/>
          <w:color w:val="000000"/>
          <w:szCs w:val="21"/>
          <w:highlight w:val="none"/>
        </w:rPr>
      </w:r>
      <w:r/>
    </w:p>
    <w:p>
      <w:pPr>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法定代表人（签章）：</w:t>
      </w:r>
      <w:r/>
    </w:p>
    <w:p>
      <w:pPr>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w:t>
      </w:r>
      <w:r/>
    </w:p>
    <w:p>
      <w:pPr>
        <w:ind w:firstLine="420"/>
        <w:spacing w:line="560" w:lineRule="exact"/>
        <w:rPr>
          <w:rFonts w:hint="eastAsia" w:ascii="宋体" w:hAnsi="宋体"/>
          <w:color w:val="000000"/>
          <w:szCs w:val="21"/>
          <w:highlight w:val="none"/>
        </w:rPr>
      </w:pPr>
      <w:r>
        <w:rPr>
          <w:rFonts w:hint="eastAsia" w:ascii="宋体" w:hAnsi="宋体"/>
          <w:color w:val="000000"/>
          <w:szCs w:val="21"/>
          <w:highlight w:val="none"/>
        </w:rPr>
        <w:t xml:space="preserve">        供应商名称（签章）：</w:t>
      </w:r>
      <w:r/>
    </w:p>
    <w:p>
      <w:pPr>
        <w:ind w:firstLine="420"/>
        <w:spacing w:line="560" w:lineRule="exact"/>
        <w:rPr>
          <w:rFonts w:ascii="宋体" w:hAnsi="宋体"/>
          <w:color w:val="000000"/>
          <w:szCs w:val="21"/>
          <w:highlight w:val="none"/>
        </w:rPr>
      </w:pPr>
      <w:r>
        <w:rPr>
          <w:rFonts w:ascii="宋体" w:hAnsi="宋体"/>
          <w:color w:val="000000"/>
          <w:szCs w:val="21"/>
          <w:highlight w:val="none"/>
        </w:rPr>
      </w:r>
      <w:r/>
    </w:p>
    <w:p>
      <w:pPr>
        <w:jc w:val="center"/>
        <w:spacing w:line="360" w:lineRule="auto"/>
        <w:rPr>
          <w:rFonts w:ascii="宋体" w:hAnsi="宋体"/>
          <w:b/>
          <w:color w:val="000000"/>
          <w:szCs w:val="21"/>
          <w:highlight w:val="none"/>
        </w:rPr>
      </w:pPr>
      <w:r>
        <w:rPr>
          <w:rFonts w:ascii="宋体" w:hAnsi="宋体"/>
          <w:color w:val="000000"/>
          <w:szCs w:val="21"/>
          <w:highlight w:val="none"/>
        </w:rPr>
        <w:t xml:space="preserve">年   月   日</w:t>
      </w:r>
      <w:r>
        <w:rPr>
          <w:rFonts w:hint="eastAsia" w:ascii="宋体" w:hAnsi="宋体"/>
          <w:b/>
          <w:color w:val="000000"/>
          <w:szCs w:val="21"/>
          <w:highlight w:val="none"/>
        </w:rPr>
        <w:br w:type="page" w:clear="all"/>
      </w:r>
      <w:r>
        <w:rPr>
          <w:rFonts w:hint="eastAsia" w:ascii="宋体" w:hAnsi="宋体"/>
          <w:b/>
          <w:color w:val="000000"/>
          <w:szCs w:val="21"/>
          <w:highlight w:val="none"/>
        </w:rPr>
        <w:t xml:space="preserve">供应商信用承诺书</w:t>
      </w:r>
      <w:r/>
    </w:p>
    <w:p>
      <w:pPr>
        <w:spacing w:line="360" w:lineRule="auto"/>
        <w:rPr>
          <w:rFonts w:ascii="方正仿宋_GBK"/>
          <w:color w:val="000000"/>
          <w:szCs w:val="32"/>
          <w:highlight w:val="none"/>
        </w:rPr>
      </w:pPr>
      <w:r>
        <w:rPr>
          <w:rFonts w:ascii="方正仿宋_GBK"/>
          <w:color w:val="000000"/>
          <w:szCs w:val="32"/>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承诺单位（签章）：           </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p>
    <w:p>
      <w:pPr>
        <w:jc w:val="center"/>
        <w:spacing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致：（代理公司）</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p>
    <w:p>
      <w:pPr>
        <w:pStyle w:val="107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p>
    <w:p>
      <w:pPr>
        <w:pStyle w:val="1078"/>
        <w:ind w:firstLine="422"/>
        <w:jc w:val="center"/>
        <w:spacing w:after="312" w:line="360" w:lineRule="auto"/>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p>
    <w:p>
      <w:pPr>
        <w:pStyle w:val="107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p>
    <w:p>
      <w:pPr>
        <w:pStyle w:val="107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107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p>
    <w:p>
      <w:pPr>
        <w:pStyle w:val="1078"/>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1078"/>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p>
    <w:p>
      <w:pPr>
        <w:pStyle w:val="1078"/>
        <w:ind w:firstLine="420"/>
        <w:spacing w:line="360" w:lineRule="auto"/>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1078"/>
        <w:ind w:firstLine="420"/>
        <w:spacing w:line="360" w:lineRule="auto"/>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p>
    <w:p>
      <w:pPr>
        <w:spacing w:line="360" w:lineRule="auto"/>
        <w:rPr>
          <w:rFonts w:ascii="宋体" w:hAnsi="宋体"/>
          <w:bCs/>
          <w:color w:val="000000"/>
          <w:highlight w:val="none"/>
        </w:rPr>
      </w:pPr>
      <w:r>
        <w:rPr>
          <w:rFonts w:ascii="宋体" w:hAnsi="宋体"/>
          <w:bCs/>
          <w:color w:val="000000"/>
          <w:highlight w:val="none"/>
        </w:rPr>
      </w:r>
      <w:r/>
    </w:p>
    <w:p>
      <w:pPr>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p>
    <w:p>
      <w:pPr>
        <w:numPr>
          <w:ilvl w:val="0"/>
          <w:numId w:val="3"/>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contextualSpacing/>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br w:type="page" w:clear="all"/>
      </w:r>
      <w:r/>
    </w:p>
    <w:p>
      <w:pPr>
        <w:numPr>
          <w:ilvl w:val="0"/>
          <w:numId w:val="3"/>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p>
    <w:p>
      <w:pP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中小企业声明函（工程、服务）</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（采购文件中明确的所属行业）（该行业类别不可修改）</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lang w:eastAsia="en-US"/>
        </w:rPr>
        <w:fldChar w:fldCharType="begin"/>
      </w:r>
      <w:r>
        <w:rPr>
          <w:rFonts w:hint="eastAsia" w:ascii="宋体" w:hAnsi="宋体" w:eastAsia="宋体" w:cs="宋体"/>
          <w:color w:val="000000"/>
          <w:spacing w:val="-1"/>
          <w:highlight w:val="none"/>
          <w:vertAlign w:val="superscript"/>
        </w:rPr>
        <w:instrText xml:space="preserve"> HYPERLINK \l "br1" </w:instrText>
      </w:r>
      <w:r>
        <w:rPr>
          <w:rFonts w:hint="eastAsia" w:ascii="宋体" w:hAnsi="宋体" w:eastAsia="宋体" w:cs="宋体"/>
          <w:color w:val="000000"/>
          <w:highlight w:val="none"/>
          <w:lang w:eastAsia="en-US"/>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highlight w:val="none"/>
          <w:lang w:eastAsia="en-US"/>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p>
    <w:p>
      <w:pPr>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 ，属于</w:t>
      </w:r>
      <w:r>
        <w:rPr>
          <w:rFonts w:hint="eastAsia" w:ascii="宋体" w:hAnsi="宋体" w:eastAsia="宋体" w:cs="宋体"/>
          <w:color w:val="000000"/>
          <w:highlight w:val="none"/>
          <w:u w:val="single"/>
        </w:rPr>
        <w:t xml:space="preserve">（采购文件中明确的所属行业（该行业类别不可修改））</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color w:val="000000"/>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2、供应商如不提供此声明函，价格将不做相应扣除。</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3、企业声明函请完整填写，中标后将公示。</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p>
    <w:p>
      <w:pPr>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p>
    <w:p>
      <w:pPr>
        <w:ind w:firstLine="4620"/>
        <w:jc w:val="left"/>
        <w:spacing w:line="360" w:lineRule="auto"/>
        <w:rPr>
          <w:rFonts w:hint="eastAsia"/>
          <w:color w:val="000000"/>
          <w:highlight w:val="none"/>
        </w:rPr>
      </w:pPr>
      <w:r>
        <w:rPr>
          <w:rFonts w:hint="eastAsia"/>
          <w:color w:val="000000"/>
          <w:highlight w:val="none"/>
        </w:rPr>
      </w:r>
      <w:r/>
    </w:p>
    <w:p>
      <w:pPr>
        <w:pStyle w:val="1028"/>
        <w:jc w:val="center"/>
        <w:spacing w:before="300" w:after="300" w:line="360" w:lineRule="auto"/>
        <w:widowControl/>
        <w:rPr>
          <w:rFonts w:hint="eastAsia" w:ascii="宋体" w:hAnsi="宋体" w:eastAsia="宋体" w:cs="宋体"/>
          <w:color w:val="000000"/>
          <w:sz w:val="21"/>
          <w:szCs w:val="21"/>
          <w:highlight w:val="none"/>
        </w:rPr>
      </w:pPr>
      <w:r/>
      <w:bookmarkStart w:id="48" w:name="_Toc109304977"/>
      <w:r/>
      <w:bookmarkStart w:id="49" w:name="_Toc5595"/>
      <w:r>
        <w:rPr>
          <w:rFonts w:hint="eastAsia" w:ascii="宋体" w:hAnsi="宋体" w:eastAsia="宋体" w:cs="宋体"/>
          <w:bCs w:val="0"/>
          <w:color w:val="000000"/>
          <w:sz w:val="21"/>
          <w:szCs w:val="21"/>
          <w:highlight w:val="none"/>
        </w:rPr>
        <w:t xml:space="preserve">中小微企业划型标准</w:t>
      </w:r>
      <w:bookmarkEnd w:id="48"/>
      <w:r>
        <w:rPr>
          <w:rFonts w:hint="eastAsia" w:ascii="宋体" w:hAnsi="宋体" w:eastAsia="宋体" w:cs="宋体"/>
          <w:bCs w:val="0"/>
          <w:color w:val="000000"/>
          <w:sz w:val="21"/>
          <w:szCs w:val="21"/>
          <w:highlight w:val="none"/>
        </w:rPr>
        <w:t xml:space="preserve"> </w:t>
      </w:r>
      <w:bookmarkEnd w:id="49"/>
      <w:r/>
      <w:r/>
    </w:p>
    <w:p>
      <w:pPr>
        <w:pStyle w:val="1056"/>
        <w:ind w:firstLine="42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1057"/>
          <w:rFonts w:hint="eastAsia" w:ascii="宋体" w:hAnsi="宋体" w:eastAsia="宋体" w:cs="宋体"/>
          <w:color w:val="000000"/>
          <w:sz w:val="21"/>
          <w:szCs w:val="21"/>
          <w:highlight w:val="none"/>
        </w:rPr>
        <w:t xml:space="preserve">中小微企业划型标准如下：</w:t>
      </w:r>
      <w:r/>
    </w:p>
    <w:tbl>
      <w:tblPr>
        <w:tblStyle w:val="855"/>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指标名称</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计量单位</w:t>
            </w:r>
            <w:r/>
          </w:p>
        </w:tc>
        <w:tc>
          <w:tcPr>
            <w:tcMar>
              <w:left w:w="105" w:type="dxa"/>
              <w:top w:w="0" w:type="dxa"/>
              <w:right w:w="105" w:type="dxa"/>
              <w:bottom w:w="0" w:type="dxa"/>
            </w:tcMar>
            <w:tcW w:w="205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firstLine="420"/>
              <w:jc w:val="center"/>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firstLine="420"/>
              <w:spacing w:after="150" w:line="360" w:lineRule="auto"/>
              <w:widowControl/>
              <w:rPr>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X＜10</w:t>
            </w:r>
            <w:r/>
          </w:p>
        </w:tc>
      </w:tr>
    </w:tbl>
    <w:p>
      <w:pPr>
        <w:pStyle w:val="1056"/>
        <w:ind w:firstLine="420"/>
        <w:spacing w:before="300" w:after="452" w:line="360" w:lineRule="auto"/>
        <w:widowControl/>
        <w:rPr>
          <w:rStyle w:val="1057"/>
          <w:rFonts w:hint="eastAsia" w:ascii="宋体" w:hAnsi="宋体" w:eastAsia="宋体" w:cs="宋体"/>
          <w:color w:val="000000"/>
          <w:sz w:val="21"/>
          <w:szCs w:val="21"/>
          <w:highlight w:val="none"/>
        </w:rPr>
      </w:pPr>
      <w:r>
        <w:rPr>
          <w:rStyle w:val="1057"/>
          <w:rFonts w:hint="eastAsia" w:ascii="宋体" w:hAnsi="宋体" w:eastAsia="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000000"/>
          <w:highlight w:val="none"/>
        </w:rPr>
      </w:pPr>
      <w:r>
        <w:rPr>
          <w:rStyle w:val="1057"/>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p>
    <w:p>
      <w:pPr>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p>
    <w:p>
      <w:pPr>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spacing w:line="360" w:lineRule="auto"/>
        <w:rPr>
          <w:rFonts w:hint="eastAsia" w:ascii="宋体" w:hAnsi="宋体"/>
          <w:b/>
          <w:bCs/>
          <w:color w:val="000000"/>
          <w:sz w:val="32"/>
          <w:szCs w:val="32"/>
          <w:highlight w:val="none"/>
        </w:rPr>
      </w:pPr>
      <w:r/>
      <w:bookmarkStart w:id="50" w:name="_Toc109304978"/>
      <w:r/>
      <w:r/>
    </w:p>
    <w:p>
      <w:pPr>
        <w:pStyle w:val="1030"/>
        <w:spacing w:line="360" w:lineRule="auto"/>
        <w:rPr>
          <w:rFonts w:hint="eastAsia"/>
          <w:color w:val="000000"/>
          <w:highlight w:val="none"/>
        </w:rPr>
      </w:pPr>
      <w:r>
        <w:rPr>
          <w:rFonts w:hint="eastAsia"/>
          <w:color w:val="000000"/>
          <w:highlight w:val="none"/>
        </w:rPr>
      </w:r>
      <w:r/>
    </w:p>
    <w:p>
      <w:pPr>
        <w:spacing w:line="360" w:lineRule="auto"/>
        <w:rPr>
          <w:rFonts w:hint="eastAsia"/>
          <w:color w:val="000000"/>
          <w:highlight w:val="none"/>
        </w:rPr>
      </w:pPr>
      <w:r>
        <w:rPr>
          <w:rFonts w:hint="eastAsia"/>
          <w:color w:val="000000"/>
          <w:highlight w:val="none"/>
        </w:rPr>
      </w:r>
      <w:r/>
    </w:p>
    <w:p>
      <w:pPr>
        <w:pStyle w:val="1030"/>
        <w:spacing w:line="360" w:lineRule="auto"/>
        <w:rPr>
          <w:rFonts w:hint="eastAsia"/>
          <w:color w:val="000000"/>
          <w:highlight w:val="none"/>
        </w:rPr>
      </w:pPr>
      <w:r>
        <w:rPr>
          <w:rFonts w:hint="eastAsia"/>
          <w:color w:val="000000"/>
          <w:highlight w:val="none"/>
        </w:rPr>
      </w:r>
      <w:r/>
    </w:p>
    <w:p>
      <w:pPr>
        <w:spacing w:line="360" w:lineRule="auto"/>
        <w:rPr>
          <w:rFonts w:hint="eastAsia"/>
          <w:color w:val="000000"/>
          <w:highlight w:val="none"/>
        </w:rPr>
      </w:pPr>
      <w:r>
        <w:rPr>
          <w:rFonts w:hint="eastAsia"/>
          <w:color w:val="000000"/>
          <w:highlight w:val="none"/>
        </w:rPr>
      </w:r>
      <w:r/>
    </w:p>
    <w:p>
      <w:pPr>
        <w:pStyle w:val="1030"/>
        <w:spacing w:line="360" w:lineRule="auto"/>
        <w:rPr>
          <w:rFonts w:hint="eastAsia"/>
          <w:color w:val="000000"/>
          <w:highlight w:val="none"/>
        </w:rPr>
      </w:pPr>
      <w:r>
        <w:rPr>
          <w:rFonts w:hint="eastAsia"/>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t xml:space="preserve">    </w:t>
      </w:r>
      <w:r/>
    </w:p>
    <w:p>
      <w:pPr>
        <w:pStyle w:val="878"/>
        <w:rPr>
          <w:rFonts w:hint="eastAsia" w:ascii="宋体" w:hAnsi="宋体"/>
          <w:color w:val="000000"/>
          <w:highlight w:val="none"/>
        </w:rPr>
      </w:pPr>
      <w:r>
        <w:rPr>
          <w:rFonts w:hint="eastAsia" w:ascii="宋体" w:hAnsi="宋体"/>
          <w:color w:val="000000"/>
          <w:highlight w:val="none"/>
        </w:rPr>
      </w:r>
      <w:r/>
    </w:p>
    <w:p>
      <w:pPr>
        <w:pStyle w:val="878"/>
        <w:rPr>
          <w:rFonts w:hint="eastAsia" w:ascii="宋体" w:hAnsi="宋体"/>
          <w:color w:val="000000"/>
          <w:highlight w:val="none"/>
        </w:rPr>
      </w:pPr>
      <w:r>
        <w:rPr>
          <w:rFonts w:hint="eastAsia" w:ascii="宋体" w:hAnsi="宋体"/>
          <w:color w:val="000000"/>
          <w:highlight w:val="none"/>
        </w:rPr>
      </w:r>
      <w:r/>
    </w:p>
    <w:p>
      <w:pPr>
        <w:pStyle w:val="878"/>
        <w:rPr>
          <w:rFonts w:hint="eastAsia" w:ascii="宋体" w:hAnsi="宋体"/>
          <w:color w:val="000000"/>
          <w:highlight w:val="none"/>
        </w:rPr>
      </w:pPr>
      <w:r>
        <w:rPr>
          <w:rFonts w:hint="eastAsia" w:ascii="宋体" w:hAnsi="宋体"/>
          <w:color w:val="000000"/>
          <w:highlight w:val="none"/>
        </w:rPr>
      </w:r>
      <w:r/>
    </w:p>
    <w:p>
      <w:pPr>
        <w:pStyle w:val="878"/>
        <w:rPr>
          <w:rFonts w:hint="eastAsia" w:ascii="宋体" w:hAnsi="宋体"/>
          <w:color w:val="000000"/>
          <w:highlight w:val="none"/>
        </w:rPr>
      </w:pPr>
      <w:r>
        <w:rPr>
          <w:rFonts w:hint="eastAsia" w:ascii="宋体" w:hAnsi="宋体"/>
          <w:color w:val="000000"/>
          <w:highlight w:val="none"/>
        </w:rPr>
      </w:r>
      <w:r/>
    </w:p>
    <w:p>
      <w:pPr>
        <w:pStyle w:val="878"/>
        <w:rPr>
          <w:rFonts w:hint="eastAsia" w:ascii="宋体" w:hAnsi="宋体"/>
          <w:color w:val="000000"/>
          <w:highlight w:val="none"/>
        </w:rPr>
      </w:pPr>
      <w:r>
        <w:rPr>
          <w:rFonts w:hint="eastAsia" w:ascii="宋体" w:hAnsi="宋体"/>
          <w:color w:val="000000"/>
          <w:highlight w:val="none"/>
        </w:rPr>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四、磋商响应报价表</w:t>
      </w:r>
      <w:r/>
    </w:p>
    <w:p>
      <w:pPr>
        <w:spacing w:line="360" w:lineRule="auto"/>
        <w:rPr>
          <w:rFonts w:hint="eastAsia" w:ascii="宋体" w:hAnsi="宋体"/>
          <w:color w:val="000000"/>
          <w:highlight w:val="none"/>
        </w:rPr>
      </w:pPr>
      <w:r>
        <w:rPr>
          <w:rFonts w:hint="eastAsia" w:ascii="宋体" w:hAnsi="宋体"/>
          <w:color w:val="000000"/>
          <w:highlight w:val="none"/>
        </w:rPr>
        <w:t xml:space="preserve">    </w:t>
      </w:r>
      <w:r/>
    </w:p>
    <w:p>
      <w:pPr>
        <w:pStyle w:val="1047"/>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p>
    <w:p>
      <w:pP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项目编号：     </w:t>
      </w:r>
      <w:r/>
    </w:p>
    <w:p>
      <w:pP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本次为首次报价                                                      </w:t>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p>
        </w:tc>
        <w:tc>
          <w:tcPr>
            <w:tcW w:w="8222" w:type="dxa"/>
            <w:vAlign w:val="center"/>
            <w:textDirection w:val="lrTb"/>
            <w:noWrap w:val="false"/>
          </w:tcPr>
          <w:p>
            <w:pPr>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第一轮报价</w:t>
            </w:r>
            <w:r/>
          </w:p>
        </w:tc>
      </w:tr>
      <w:tr>
        <w:trPr>
          <w:cantSplit/>
          <w:trHeight w:val="1800"/>
        </w:trPr>
        <w:tc>
          <w:tcPr>
            <w:tcW w:w="1242" w:type="dxa"/>
            <w:vAlign w:val="center"/>
            <w:textDirection w:val="lrTb"/>
            <w:noWrap w:val="false"/>
          </w:tcPr>
          <w:p>
            <w:pPr>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报价</w:t>
            </w:r>
            <w:r/>
          </w:p>
        </w:tc>
        <w:tc>
          <w:tcPr>
            <w:tcW w:w="8222" w:type="dxa"/>
            <w:vAlign w:val="center"/>
            <w:textDirection w:val="lrTb"/>
            <w:noWrap w:val="false"/>
          </w:tcPr>
          <w:p>
            <w:pP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大写：</w:t>
            </w:r>
            <w:r/>
          </w:p>
          <w:p>
            <w:pP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小写：            (人民币)元</w:t>
            </w:r>
            <w:r/>
          </w:p>
        </w:tc>
      </w:tr>
      <w:tr>
        <w:trPr>
          <w:cantSplit/>
          <w:trHeight w:val="1849"/>
        </w:trPr>
        <w:tc>
          <w:tcPr>
            <w:tcW w:w="1242" w:type="dxa"/>
            <w:vAlign w:val="center"/>
            <w:textDirection w:val="lrTb"/>
            <w:noWrap w:val="false"/>
          </w:tcPr>
          <w:p>
            <w:pPr>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备注</w:t>
            </w:r>
            <w:r/>
          </w:p>
        </w:tc>
        <w:tc>
          <w:tcPr>
            <w:tcW w:w="8222" w:type="dxa"/>
            <w:vAlign w:val="center"/>
            <w:textDirection w:val="lrTb"/>
            <w:noWrap w:val="false"/>
          </w:tcPr>
          <w:p>
            <w:pPr>
              <w:jc w:val="center"/>
              <w:spacing w:line="360" w:lineRule="auto"/>
              <w:rPr>
                <w:rFonts w:ascii="宋体" w:hAnsi="宋体"/>
                <w:color w:val="000000"/>
                <w:sz w:val="21"/>
                <w:szCs w:val="21"/>
                <w:highlight w:val="none"/>
              </w:rPr>
            </w:pPr>
            <w:r>
              <w:rPr>
                <w:rFonts w:ascii="宋体" w:hAnsi="宋体"/>
                <w:color w:val="000000"/>
                <w:sz w:val="21"/>
                <w:szCs w:val="21"/>
                <w:highlight w:val="none"/>
              </w:rPr>
            </w:r>
            <w:r/>
          </w:p>
        </w:tc>
      </w:tr>
    </w:tbl>
    <w:p>
      <w:pPr>
        <w:spacing w:line="360" w:lineRule="auto"/>
        <w:rPr>
          <w:rFonts w:hint="eastAsia" w:ascii="宋体" w:hAnsi="宋体"/>
          <w:color w:val="000000"/>
          <w:highlight w:val="none"/>
        </w:rPr>
      </w:pPr>
      <w:r>
        <w:rPr>
          <w:rFonts w:hint="eastAsia" w:ascii="宋体" w:hAnsi="宋体"/>
          <w:color w:val="000000"/>
          <w:highlight w:val="none"/>
        </w:rPr>
        <w:t xml:space="preserve">                                               </w:t>
      </w:r>
      <w:r/>
    </w:p>
    <w:p>
      <w:pPr>
        <w:jc w:val="right"/>
        <w:spacing w:line="360" w:lineRule="auto"/>
        <w:rPr>
          <w:rFonts w:hint="eastAsia" w:ascii="宋体" w:hAnsi="宋体"/>
          <w:color w:val="000000"/>
          <w:highlight w:val="none"/>
        </w:rPr>
      </w:pPr>
      <w:r>
        <w:rPr>
          <w:rFonts w:hint="eastAsia" w:ascii="宋体" w:hAnsi="宋体"/>
          <w:color w:val="000000"/>
          <w:highlight w:val="none"/>
        </w:rPr>
        <w:t xml:space="preserve">日期：    年   月    日</w:t>
      </w:r>
      <w:r/>
    </w:p>
    <w:p>
      <w:pPr>
        <w:jc w:val="right"/>
        <w:spacing w:line="360" w:lineRule="auto"/>
        <w:rPr>
          <w:rFonts w:ascii="宋体" w:hAnsi="宋体" w:eastAsia="宋体" w:cs="Calibri"/>
          <w:color w:val="000000"/>
          <w:szCs w:val="21"/>
          <w:highlight w:val="none"/>
        </w:rPr>
      </w:pPr>
      <w:r>
        <w:rPr>
          <w:rFonts w:ascii="宋体" w:hAnsi="宋体"/>
          <w:bCs/>
          <w:color w:val="000000"/>
          <w:highlight w:val="none"/>
        </w:rPr>
        <w:br w:type="page" w:clear="all"/>
      </w:r>
      <w:r/>
    </w:p>
    <w:p>
      <w:pPr>
        <w:ind w:left="0" w:right="0" w:firstLine="0"/>
        <w:jc w:val="center"/>
        <w:spacing w:before="0"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五、分项报价表</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项目名称：</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项目编号：</w:t>
      </w:r>
      <w:r/>
    </w:p>
    <w:tbl>
      <w:tblPr>
        <w:tblStyle w:val="8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7"/>
        <w:gridCol w:w="1665"/>
        <w:gridCol w:w="2306"/>
        <w:gridCol w:w="1904"/>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总价</w:t>
            </w:r>
            <w:r/>
          </w:p>
        </w:tc>
      </w:tr>
      <w:tr>
        <w:trPr>
          <w:trHeight w:val="9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9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9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bl>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注：1、格式自拟，行数不够，可自行添加。</w:t>
      </w:r>
      <w:r/>
    </w:p>
    <w:p>
      <w:pPr>
        <w:pStyle w:val="1028"/>
        <w:jc w:val="center"/>
        <w:spacing w:line="360" w:lineRule="auto"/>
        <w:rPr>
          <w:rFonts w:hint="eastAsia" w:ascii="宋体" w:hAnsi="宋体"/>
          <w:color w:val="000000"/>
          <w:highlight w:val="none"/>
        </w:rPr>
      </w:pPr>
      <w:r/>
      <w:bookmarkStart w:id="51" w:name="_Toc19223"/>
      <w:r>
        <w:rPr>
          <w:rFonts w:hint="eastAsia" w:ascii="宋体" w:hAnsi="宋体"/>
          <w:bCs w:val="0"/>
          <w:color w:val="000000"/>
          <w:highlight w:val="none"/>
        </w:rPr>
        <w:br/>
      </w:r>
      <w:r/>
    </w:p>
    <w:p>
      <w:pPr>
        <w:rPr>
          <w:rFonts w:hint="eastAsia" w:ascii="宋体" w:hAnsi="宋体"/>
          <w:color w:val="000000"/>
          <w:highlight w:val="none"/>
        </w:rPr>
      </w:pPr>
      <w:r>
        <w:rPr>
          <w:highlight w:val="none"/>
        </w:rPr>
        <w:br w:type="page" w:clear="all"/>
      </w:r>
      <w:r/>
    </w:p>
    <w:p>
      <w:pPr>
        <w:pStyle w:val="1028"/>
        <w:jc w:val="center"/>
        <w:spacing w:line="360" w:lineRule="auto"/>
        <w:rPr>
          <w:highlight w:val="none"/>
        </w:rPr>
      </w:pPr>
      <w:r>
        <w:rPr>
          <w:rFonts w:hint="eastAsia" w:ascii="宋体" w:hAnsi="宋体"/>
          <w:bCs w:val="0"/>
          <w:color w:val="000000"/>
          <w:highlight w:val="none"/>
        </w:rPr>
        <w:t xml:space="preserve">六、技术参数响应及偏离表</w:t>
      </w:r>
      <w:bookmarkEnd w:id="50"/>
      <w:r/>
      <w:bookmarkEnd w:id="51"/>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2852"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采购要求</w:t>
            </w:r>
            <w:r/>
          </w:p>
        </w:tc>
        <w:tc>
          <w:tcPr>
            <w:tcW w:w="2852"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磋商响应</w:t>
            </w:r>
            <w:r/>
          </w:p>
        </w:tc>
        <w:tc>
          <w:tcPr>
            <w:tcW w:w="1308"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8"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3"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8"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3"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8"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3"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8"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3"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8"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3"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8"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3"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8"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3"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2"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8"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3"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注：1、按照基本技术要求详细填列。</w:t>
      </w:r>
      <w:r/>
    </w:p>
    <w:p>
      <w:pPr>
        <w:ind w:firstLine="420"/>
        <w:spacing w:line="360" w:lineRule="auto"/>
        <w:rPr>
          <w:rFonts w:hint="eastAsia" w:ascii="宋体" w:hAnsi="宋体"/>
          <w:color w:val="000000"/>
          <w:szCs w:val="21"/>
          <w:highlight w:val="none"/>
        </w:rPr>
      </w:pPr>
      <w:r>
        <w:rPr>
          <w:rFonts w:hint="eastAsia" w:ascii="宋体" w:hAnsi="宋体" w:eastAsia="宋体" w:cs="宋体"/>
          <w:color w:val="000000"/>
          <w:sz w:val="21"/>
          <w:szCs w:val="21"/>
          <w:highlight w:val="none"/>
        </w:rPr>
        <w:t xml:space="preserve">2、行数不够，可自行添加</w:t>
      </w:r>
      <w:r>
        <w:rPr>
          <w:rFonts w:hint="eastAsia" w:ascii="宋体" w:hAnsi="宋体"/>
          <w:color w:val="000000"/>
          <w:szCs w:val="21"/>
          <w:highlight w:val="none"/>
        </w:rPr>
        <w:t xml:space="preserve">。</w:t>
      </w:r>
      <w:r/>
    </w:p>
    <w:p>
      <w:pPr>
        <w:pStyle w:val="1028"/>
        <w:jc w:val="center"/>
        <w:spacing w:line="360" w:lineRule="auto"/>
        <w:rPr>
          <w:rFonts w:hint="eastAsia" w:ascii="宋体" w:hAnsi="宋体"/>
          <w:bCs w:val="0"/>
          <w:color w:val="000000"/>
          <w:highlight w:val="none"/>
        </w:rPr>
      </w:pPr>
      <w:r/>
      <w:bookmarkStart w:id="52" w:name="_Hlt26955054"/>
      <w:r/>
      <w:bookmarkEnd w:id="52"/>
      <w:r/>
      <w:bookmarkStart w:id="53" w:name="_Toc109304979"/>
      <w:r>
        <w:rPr>
          <w:rFonts w:ascii="宋体" w:hAnsi="宋体"/>
          <w:bCs w:val="0"/>
          <w:color w:val="000000"/>
          <w:highlight w:val="none"/>
        </w:rPr>
        <w:br w:type="page" w:clear="all"/>
      </w:r>
      <w:bookmarkStart w:id="54" w:name="_Toc11354"/>
      <w:r>
        <w:rPr>
          <w:rFonts w:hint="eastAsia" w:ascii="宋体" w:hAnsi="宋体"/>
          <w:bCs w:val="0"/>
          <w:color w:val="000000"/>
          <w:highlight w:val="none"/>
        </w:rPr>
        <w:t xml:space="preserve">七、商务条款响应及偏离表</w:t>
      </w:r>
      <w:bookmarkEnd w:id="53"/>
      <w:r/>
      <w:bookmarkEnd w:id="54"/>
      <w:r/>
      <w:r/>
    </w:p>
    <w:tbl>
      <w:tblPr>
        <w:tblStyle w:val="85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p>
        </w:tc>
        <w:tc>
          <w:tcPr>
            <w:tcW w:w="251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p>
        </w:tc>
        <w:tc>
          <w:tcPr>
            <w:tcW w:w="184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p>
        </w:tc>
        <w:tc>
          <w:tcPr>
            <w:tcW w:w="299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p>
        </w:tc>
      </w:tr>
      <w:tr>
        <w:trPr>
          <w:trHeight w:val="593"/>
        </w:trPr>
        <w:tc>
          <w:tcPr>
            <w:tcW w:w="164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p>
        </w:tc>
        <w:tc>
          <w:tcPr>
            <w:tcW w:w="251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45"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85"/>
        </w:trPr>
        <w:tc>
          <w:tcPr>
            <w:tcW w:w="1645"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交货方式</w:t>
            </w:r>
            <w:r/>
          </w:p>
        </w:tc>
        <w:tc>
          <w:tcPr>
            <w:tcW w:w="2513"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45"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507"/>
        </w:trPr>
        <w:tc>
          <w:tcPr>
            <w:tcW w:w="1645"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交货地点</w:t>
            </w:r>
            <w:r/>
          </w:p>
        </w:tc>
        <w:tc>
          <w:tcPr>
            <w:tcW w:w="2513"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45"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72"/>
        </w:trPr>
        <w:tc>
          <w:tcPr>
            <w:tcW w:w="164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p>
        </w:tc>
        <w:tc>
          <w:tcPr>
            <w:tcW w:w="2513" w:type="dxa"/>
            <w:vAlign w:val="top"/>
            <w:textDirection w:val="lrTb"/>
            <w:noWrap w:val="false"/>
          </w:tcPr>
          <w:p>
            <w:pP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4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83"/>
        </w:trPr>
        <w:tc>
          <w:tcPr>
            <w:tcW w:w="164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p>
        </w:tc>
        <w:tc>
          <w:tcPr>
            <w:tcW w:w="251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p>
        </w:tc>
        <w:tc>
          <w:tcPr>
            <w:tcW w:w="184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jc w:val="left"/>
        <w:spacing w:line="360" w:lineRule="auto"/>
        <w:widowControl/>
        <w:rPr>
          <w:rFonts w:ascii="宋体" w:hAnsi="宋体"/>
          <w:b/>
          <w:color w:val="000000"/>
          <w:highlight w:val="none"/>
        </w:rPr>
      </w:pPr>
      <w:r/>
      <w:bookmarkStart w:id="55" w:name="_Hlt26671372"/>
      <w:r/>
      <w:bookmarkEnd w:id="55"/>
      <w:r/>
      <w:bookmarkStart w:id="56" w:name="_Hlt26671343"/>
      <w:r/>
      <w:bookmarkEnd w:id="56"/>
      <w:r/>
      <w:bookmarkStart w:id="57" w:name="_Hlt26580838"/>
      <w:r/>
      <w:bookmarkEnd w:id="57"/>
      <w:r/>
      <w:bookmarkStart w:id="58" w:name="_Hlt26955064"/>
      <w:r/>
      <w:bookmarkEnd w:id="58"/>
      <w:r/>
      <w:bookmarkStart w:id="59" w:name="_Hlt26609391"/>
      <w:r/>
      <w:bookmarkEnd w:id="59"/>
      <w:r/>
      <w:bookmarkStart w:id="60" w:name="_Hlt26782999"/>
      <w:r/>
      <w:bookmarkEnd w:id="60"/>
      <w:r/>
      <w:bookmarkStart w:id="61" w:name="_Hlt24879081"/>
      <w:r/>
      <w:bookmarkEnd w:id="61"/>
      <w:r/>
      <w:bookmarkStart w:id="62" w:name="_Hlt26955056"/>
      <w:r/>
      <w:bookmarkEnd w:id="62"/>
      <w:r>
        <w:rPr>
          <w:rFonts w:ascii="宋体" w:hAnsi="宋体"/>
          <w:b/>
          <w:color w:val="000000"/>
          <w:highlight w:val="none"/>
        </w:rPr>
        <w:br w:type="page" w:clear="all"/>
      </w:r>
      <w:r/>
    </w:p>
    <w:p>
      <w:pPr>
        <w:jc w:val="center"/>
        <w:spacing w:before="312" w:line="360" w:lineRule="auto"/>
        <w:rPr>
          <w:rFonts w:ascii="宋体" w:hAnsi="宋体" w:eastAsia="宋体" w:cs="Calibri"/>
          <w:b/>
          <w:color w:val="000000"/>
          <w:szCs w:val="21"/>
          <w:highlight w:val="none"/>
        </w:rPr>
      </w:pPr>
      <w:r>
        <w:rPr>
          <w:rFonts w:hint="eastAsia" w:ascii="宋体" w:hAnsi="宋体" w:eastAsia="宋体" w:cs="Calibri"/>
          <w:b/>
          <w:color w:val="000000"/>
          <w:szCs w:val="21"/>
          <w:highlight w:val="none"/>
        </w:rPr>
        <w:t xml:space="preserve">主要标的信息（成交后将公示）</w:t>
      </w:r>
      <w:r/>
    </w:p>
    <w:p>
      <w:pPr>
        <w:spacing w:after="312" w:line="360" w:lineRule="auto"/>
        <w:rPr>
          <w:rFonts w:ascii="宋体" w:hAnsi="宋体" w:eastAsia="宋体" w:cs="Calibri"/>
          <w:b/>
          <w:color w:val="000000"/>
          <w:sz w:val="21"/>
          <w:szCs w:val="21"/>
          <w:highlight w:val="none"/>
        </w:rPr>
      </w:pPr>
      <w:r>
        <w:rPr>
          <w:rFonts w:hint="eastAsia" w:ascii="宋体" w:hAnsi="宋体" w:eastAsia="宋体" w:cs="Calibri"/>
          <w:color w:val="000000"/>
          <w:sz w:val="21"/>
          <w:szCs w:val="21"/>
          <w:highlight w:val="none"/>
        </w:rPr>
        <w:t xml:space="preserve">供应商全称：</w:t>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p>
        </w:tc>
      </w:tr>
      <w:tr>
        <w:trPr>
          <w:trHeight w:val="3884"/>
        </w:trPr>
        <w:tc>
          <w:tcPr>
            <w:tcW w:w="8149" w:type="dxa"/>
            <w:vAlign w:val="top"/>
            <w:textDirection w:val="lrTb"/>
            <w:noWrap w:val="false"/>
          </w:tcPr>
          <w:p>
            <w:pPr>
              <w:jc w:val="left"/>
              <w:spacing w:before="312"/>
              <w:rPr>
                <w:rFonts w:ascii="宋体" w:hAnsi="宋体" w:eastAsia="宋体" w:cs="Calibri"/>
                <w:bCs/>
                <w:color w:val="000000"/>
                <w:sz w:val="21"/>
                <w:szCs w:val="21"/>
                <w:highlight w:val="none"/>
              </w:rPr>
            </w:pPr>
            <w:r>
              <w:rPr>
                <w:rFonts w:ascii="宋体" w:hAnsi="宋体" w:eastAsia="宋体" w:cs="Calibri"/>
                <w:bCs/>
                <w:color w:val="000000"/>
                <w:sz w:val="21"/>
                <w:szCs w:val="21"/>
                <w:highlight w:val="none"/>
              </w:rPr>
              <w:t xml:space="preserve">名称：</w:t>
            </w:r>
            <w:r/>
          </w:p>
          <w:p>
            <w:pPr>
              <w:jc w:val="left"/>
              <w:spacing w:before="312"/>
              <w:rPr>
                <w:rFonts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rPr>
              <w:t xml:space="preserve">服务范围：</w:t>
            </w:r>
            <w:r/>
          </w:p>
          <w:p>
            <w:pPr>
              <w:jc w:val="left"/>
              <w:spacing w:before="312"/>
              <w:rPr>
                <w:rFonts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rPr>
              <w:t xml:space="preserve">服务要求：</w:t>
            </w:r>
            <w:r/>
          </w:p>
          <w:p>
            <w:pPr>
              <w:jc w:val="left"/>
              <w:spacing w:before="312"/>
              <w:rPr>
                <w:rFonts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rPr>
              <w:t xml:space="preserve">合同履行期限：</w:t>
            </w:r>
            <w:r/>
          </w:p>
          <w:p>
            <w:pPr>
              <w:jc w:val="left"/>
              <w:spacing w:before="312"/>
              <w:rPr>
                <w:rFonts w:ascii="宋体" w:hAnsi="宋体" w:eastAsia="宋体" w:cs="Calibri"/>
                <w:bCs/>
                <w:color w:val="000000"/>
                <w:sz w:val="21"/>
                <w:szCs w:val="21"/>
                <w:highlight w:val="none"/>
              </w:rPr>
            </w:pPr>
            <w:r>
              <w:rPr>
                <w:rFonts w:hint="eastAsia" w:ascii="宋体" w:hAnsi="宋体" w:eastAsia="宋体" w:cs="Calibri"/>
                <w:bCs/>
                <w:color w:val="000000"/>
                <w:sz w:val="21"/>
                <w:szCs w:val="21"/>
                <w:highlight w:val="none"/>
              </w:rPr>
              <w:t xml:space="preserve">服务标准：</w:t>
            </w:r>
            <w:r/>
          </w:p>
          <w:p>
            <w:pP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1030"/>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pStyle w:val="1030"/>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pStyle w:val="1030"/>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p>
      <w:pPr>
        <w:pStyle w:val="1030"/>
        <w:spacing w:line="360" w:lineRule="auto"/>
        <w:rPr>
          <w:rFonts w:hint="eastAsia" w:ascii="宋体" w:hAnsi="宋体"/>
          <w:color w:val="000000"/>
          <w:highlight w:val="none"/>
        </w:rPr>
      </w:pPr>
      <w:r>
        <w:rPr>
          <w:rFonts w:hint="eastAsia" w:ascii="宋体" w:hAnsi="宋体"/>
          <w:color w:val="000000"/>
          <w:highlight w:val="none"/>
        </w:rPr>
      </w:r>
      <w:r/>
    </w:p>
    <w:p>
      <w:pPr>
        <w:spacing w:line="360" w:lineRule="auto"/>
        <w:rPr>
          <w:rFonts w:hint="eastAsia" w:ascii="宋体" w:hAnsi="宋体"/>
          <w:color w:val="000000"/>
          <w:highlight w:val="none"/>
        </w:rPr>
      </w:pPr>
      <w:r>
        <w:rPr>
          <w:rFonts w:hint="eastAsia" w:ascii="宋体" w:hAnsi="宋体"/>
          <w:color w:val="000000"/>
          <w:highlight w:val="none"/>
        </w:rPr>
      </w:r>
      <w:r/>
    </w:p>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fldChar w:fldCharType="begin"/>
    </w:r>
    <w:r>
      <w:instrText xml:space="preserve"> PAGE   \* MERGEFORMAT </w:instrText>
    </w:r>
    <w:r>
      <w:fldChar w:fldCharType="separate"/>
    </w:r>
    <w:r>
      <w:rPr>
        <w:lang w:val="zh-CN"/>
      </w:rPr>
      <w:t xml:space="preserve">2</w:t>
    </w:r>
    <w:r>
      <w:fldChar w:fldCharType="end"/>
    </w:r>
    <w:r/>
  </w:p>
  <w:p>
    <w:pPr>
      <w:pStyle w:val="105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right"/>
      <w:pBdr>
        <w:bottom w:val="none" w:color="000000" w:sz="0" w:space="1"/>
      </w:pBdr>
    </w:pPr>
    <w:r>
      <w:t xml:space="preserve">                                       </w:t>
    </w:r>
    <w:r/>
  </w:p>
  <w:p>
    <w:pPr>
      <w:pStyle w:val="107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link w:val="109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5">
    <w:name w:val="Heading 1"/>
    <w:basedOn w:val="844"/>
    <w:next w:val="844"/>
    <w:link w:val="879"/>
    <w:uiPriority w:val="9"/>
    <w:qFormat/>
    <w:pPr>
      <w:keepLines/>
      <w:keepNext/>
      <w:spacing w:before="480" w:after="200"/>
      <w:outlineLvl w:val="0"/>
    </w:pPr>
    <w:rPr>
      <w:rFonts w:ascii="Arial" w:hAnsi="Arial" w:eastAsia="Arial" w:cs="Arial"/>
      <w:sz w:val="40"/>
      <w:szCs w:val="40"/>
    </w:rPr>
  </w:style>
  <w:style w:type="paragraph" w:styleId="846">
    <w:name w:val="Heading 2"/>
    <w:basedOn w:val="844"/>
    <w:next w:val="844"/>
    <w:link w:val="880"/>
    <w:uiPriority w:val="9"/>
    <w:unhideWhenUsed/>
    <w:qFormat/>
    <w:pPr>
      <w:keepLines/>
      <w:keepNext/>
      <w:spacing w:before="360" w:after="200"/>
      <w:outlineLvl w:val="1"/>
    </w:pPr>
    <w:rPr>
      <w:rFonts w:ascii="Arial" w:hAnsi="Arial" w:eastAsia="Arial" w:cs="Arial"/>
      <w:sz w:val="34"/>
    </w:rPr>
  </w:style>
  <w:style w:type="paragraph" w:styleId="847">
    <w:name w:val="Heading 3"/>
    <w:basedOn w:val="844"/>
    <w:next w:val="844"/>
    <w:link w:val="881"/>
    <w:uiPriority w:val="9"/>
    <w:unhideWhenUsed/>
    <w:qFormat/>
    <w:pPr>
      <w:keepLines/>
      <w:keepNext/>
      <w:spacing w:before="320" w:after="200"/>
      <w:outlineLvl w:val="2"/>
    </w:pPr>
    <w:rPr>
      <w:rFonts w:ascii="Arial" w:hAnsi="Arial" w:eastAsia="Arial" w:cs="Arial"/>
      <w:sz w:val="30"/>
      <w:szCs w:val="30"/>
    </w:rPr>
  </w:style>
  <w:style w:type="paragraph" w:styleId="848">
    <w:name w:val="Heading 4"/>
    <w:basedOn w:val="844"/>
    <w:next w:val="844"/>
    <w:link w:val="882"/>
    <w:uiPriority w:val="9"/>
    <w:unhideWhenUsed/>
    <w:qFormat/>
    <w:pPr>
      <w:keepLines/>
      <w:keepNext/>
      <w:spacing w:before="320" w:after="200"/>
      <w:outlineLvl w:val="3"/>
    </w:pPr>
    <w:rPr>
      <w:rFonts w:ascii="Arial" w:hAnsi="Arial" w:eastAsia="Arial" w:cs="Arial"/>
      <w:b/>
      <w:bCs/>
      <w:sz w:val="26"/>
      <w:szCs w:val="26"/>
    </w:rPr>
  </w:style>
  <w:style w:type="paragraph" w:styleId="849">
    <w:name w:val="Heading 5"/>
    <w:basedOn w:val="844"/>
    <w:next w:val="844"/>
    <w:link w:val="883"/>
    <w:uiPriority w:val="9"/>
    <w:unhideWhenUsed/>
    <w:qFormat/>
    <w:pPr>
      <w:keepLines/>
      <w:keepNext/>
      <w:spacing w:before="320" w:after="200"/>
      <w:outlineLvl w:val="4"/>
    </w:pPr>
    <w:rPr>
      <w:rFonts w:ascii="Arial" w:hAnsi="Arial" w:eastAsia="Arial" w:cs="Arial"/>
      <w:b/>
      <w:bCs/>
      <w:sz w:val="24"/>
      <w:szCs w:val="24"/>
    </w:rPr>
  </w:style>
  <w:style w:type="paragraph" w:styleId="850">
    <w:name w:val="Heading 6"/>
    <w:basedOn w:val="844"/>
    <w:next w:val="844"/>
    <w:link w:val="884"/>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886"/>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887"/>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right="0" w:firstLine="0"/>
      <w:spacing w:after="57"/>
    </w:pPr>
  </w:style>
  <w:style w:type="paragraph" w:styleId="857">
    <w:name w:val="Caption"/>
    <w:basedOn w:val="844"/>
    <w:next w:val="8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Body Text"/>
    <w:basedOn w:val="844"/>
    <w:uiPriority w:val="0"/>
    <w:semiHidden/>
    <w:qFormat/>
    <w:rPr>
      <w:rFonts w:ascii="微软雅黑" w:hAnsi="微软雅黑" w:eastAsia="微软雅黑" w:cs="微软雅黑"/>
      <w:sz w:val="24"/>
      <w:szCs w:val="24"/>
      <w:lang w:val="en-US" w:eastAsia="en-US" w:bidi="ar-SA"/>
    </w:rPr>
  </w:style>
  <w:style w:type="paragraph" w:styleId="859">
    <w:name w:val="toc 5"/>
    <w:basedOn w:val="844"/>
    <w:next w:val="844"/>
    <w:uiPriority w:val="39"/>
    <w:unhideWhenUsed/>
    <w:qFormat/>
    <w:pPr>
      <w:ind w:left="1134" w:right="0" w:firstLine="0"/>
      <w:spacing w:after="57"/>
    </w:pPr>
  </w:style>
  <w:style w:type="paragraph" w:styleId="860">
    <w:name w:val="toc 3"/>
    <w:basedOn w:val="844"/>
    <w:next w:val="844"/>
    <w:uiPriority w:val="39"/>
    <w:unhideWhenUsed/>
    <w:qFormat/>
    <w:pPr>
      <w:ind w:left="567" w:right="0" w:firstLine="0"/>
      <w:spacing w:after="57"/>
    </w:pPr>
  </w:style>
  <w:style w:type="paragraph" w:styleId="861">
    <w:name w:val="toc 8"/>
    <w:basedOn w:val="844"/>
    <w:next w:val="844"/>
    <w:uiPriority w:val="39"/>
    <w:unhideWhenUsed/>
    <w:qFormat/>
    <w:pPr>
      <w:ind w:left="1984" w:right="0" w:firstLine="0"/>
      <w:spacing w:after="57"/>
    </w:pPr>
  </w:style>
  <w:style w:type="paragraph" w:styleId="862">
    <w:name w:val="endnote text"/>
    <w:basedOn w:val="844"/>
    <w:link w:val="1025"/>
    <w:uiPriority w:val="99"/>
    <w:semiHidden/>
    <w:unhideWhenUsed/>
    <w:qFormat/>
    <w:pPr>
      <w:spacing w:after="0" w:line="240" w:lineRule="auto"/>
    </w:pPr>
    <w:rPr>
      <w:sz w:val="20"/>
    </w:rPr>
  </w:style>
  <w:style w:type="paragraph" w:styleId="863">
    <w:name w:val="Footer"/>
    <w:basedOn w:val="844"/>
    <w:link w:val="898"/>
    <w:uiPriority w:val="99"/>
    <w:unhideWhenUsed/>
    <w:qFormat/>
    <w:pPr>
      <w:spacing w:after="0" w:line="240" w:lineRule="auto"/>
      <w:tabs>
        <w:tab w:val="center" w:pos="7143" w:leader="none"/>
        <w:tab w:val="right" w:pos="14287" w:leader="none"/>
      </w:tabs>
    </w:pPr>
  </w:style>
  <w:style w:type="paragraph" w:styleId="864">
    <w:name w:val="Header"/>
    <w:basedOn w:val="844"/>
    <w:link w:val="896"/>
    <w:uiPriority w:val="99"/>
    <w:unhideWhenUsed/>
    <w:qFormat/>
    <w:pPr>
      <w:spacing w:after="0" w:line="240" w:lineRule="auto"/>
      <w:tabs>
        <w:tab w:val="center" w:pos="7143" w:leader="none"/>
        <w:tab w:val="right" w:pos="14287" w:leader="none"/>
      </w:tabs>
    </w:pPr>
  </w:style>
  <w:style w:type="paragraph" w:styleId="865">
    <w:name w:val="toc 1"/>
    <w:basedOn w:val="844"/>
    <w:next w:val="844"/>
    <w:uiPriority w:val="39"/>
    <w:unhideWhenUsed/>
    <w:qFormat/>
    <w:pPr>
      <w:ind w:left="0" w:right="0" w:firstLine="0"/>
      <w:spacing w:after="57"/>
    </w:pPr>
  </w:style>
  <w:style w:type="paragraph" w:styleId="866">
    <w:name w:val="toc 4"/>
    <w:basedOn w:val="844"/>
    <w:next w:val="844"/>
    <w:uiPriority w:val="39"/>
    <w:unhideWhenUsed/>
    <w:qFormat/>
    <w:pPr>
      <w:ind w:left="850" w:right="0" w:firstLine="0"/>
      <w:spacing w:after="57"/>
    </w:pPr>
  </w:style>
  <w:style w:type="paragraph" w:styleId="867">
    <w:name w:val="Subtitle"/>
    <w:basedOn w:val="844"/>
    <w:next w:val="844"/>
    <w:link w:val="891"/>
    <w:uiPriority w:val="11"/>
    <w:qFormat/>
    <w:pPr>
      <w:spacing w:before="200" w:after="200"/>
    </w:pPr>
    <w:rPr>
      <w:sz w:val="24"/>
      <w:szCs w:val="24"/>
    </w:rPr>
  </w:style>
  <w:style w:type="paragraph" w:styleId="868">
    <w:name w:val="footnote text"/>
    <w:basedOn w:val="844"/>
    <w:link w:val="1024"/>
    <w:uiPriority w:val="99"/>
    <w:semiHidden/>
    <w:unhideWhenUsed/>
    <w:qFormat/>
    <w:pPr>
      <w:spacing w:after="40" w:line="240" w:lineRule="auto"/>
    </w:pPr>
    <w:rPr>
      <w:sz w:val="18"/>
    </w:rPr>
  </w:style>
  <w:style w:type="paragraph" w:styleId="869">
    <w:name w:val="toc 6"/>
    <w:basedOn w:val="844"/>
    <w:next w:val="844"/>
    <w:uiPriority w:val="39"/>
    <w:unhideWhenUsed/>
    <w:qFormat/>
    <w:pPr>
      <w:ind w:left="1417" w:right="0" w:firstLine="0"/>
      <w:spacing w:after="57"/>
    </w:pPr>
  </w:style>
  <w:style w:type="paragraph" w:styleId="870">
    <w:name w:val="table of figures"/>
    <w:basedOn w:val="844"/>
    <w:next w:val="844"/>
    <w:uiPriority w:val="99"/>
    <w:unhideWhenUsed/>
    <w:qFormat/>
    <w:pPr>
      <w:spacing w:after="0" w:afterAutospacing="0"/>
    </w:pPr>
  </w:style>
  <w:style w:type="paragraph" w:styleId="871">
    <w:name w:val="toc 2"/>
    <w:basedOn w:val="844"/>
    <w:next w:val="844"/>
    <w:uiPriority w:val="39"/>
    <w:unhideWhenUsed/>
    <w:qFormat/>
    <w:pPr>
      <w:ind w:left="283" w:right="0" w:firstLine="0"/>
      <w:spacing w:after="57"/>
    </w:pPr>
  </w:style>
  <w:style w:type="paragraph" w:styleId="872">
    <w:name w:val="toc 9"/>
    <w:basedOn w:val="844"/>
    <w:next w:val="844"/>
    <w:uiPriority w:val="39"/>
    <w:unhideWhenUsed/>
    <w:qFormat/>
    <w:pPr>
      <w:ind w:left="2268" w:right="0" w:firstLine="0"/>
      <w:spacing w:after="57"/>
    </w:pPr>
  </w:style>
  <w:style w:type="paragraph" w:styleId="873">
    <w:name w:val="Title"/>
    <w:basedOn w:val="844"/>
    <w:next w:val="844"/>
    <w:link w:val="890"/>
    <w:uiPriority w:val="10"/>
    <w:qFormat/>
    <w:pPr>
      <w:contextualSpacing/>
      <w:spacing w:before="300" w:after="200"/>
    </w:pPr>
    <w:rPr>
      <w:sz w:val="48"/>
      <w:szCs w:val="48"/>
    </w:rPr>
  </w:style>
  <w:style w:type="table" w:styleId="8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endnote reference"/>
    <w:uiPriority w:val="99"/>
    <w:semiHidden/>
    <w:unhideWhenUsed/>
    <w:qFormat/>
    <w:rPr>
      <w:vertAlign w:val="superscript"/>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footnote reference"/>
    <w:uiPriority w:val="99"/>
    <w:unhideWhenUsed/>
    <w:qFormat/>
    <w:rPr>
      <w:vertAlign w:val="superscript"/>
    </w:rPr>
  </w:style>
  <w:style w:type="paragraph" w:styleId="878" w:customStyle="1">
    <w:name w:val="首行缩进"/>
    <w:basedOn w:val="844"/>
    <w:uiPriority w:val="0"/>
    <w:qFormat/>
    <w:pPr>
      <w:ind w:firstLine="480"/>
    </w:pPr>
    <w:rPr>
      <w:rFonts w:ascii="Times New Roman" w:hAnsi="Times New Roman"/>
    </w:rPr>
  </w:style>
  <w:style w:type="character" w:styleId="879" w:customStyle="1">
    <w:name w:val="Heading 1 Char"/>
    <w:link w:val="845"/>
    <w:uiPriority w:val="9"/>
    <w:qFormat/>
    <w:rPr>
      <w:rFonts w:ascii="Arial" w:hAnsi="Arial" w:eastAsia="Arial" w:cs="Arial"/>
      <w:sz w:val="40"/>
      <w:szCs w:val="40"/>
    </w:rPr>
  </w:style>
  <w:style w:type="character" w:styleId="880" w:customStyle="1">
    <w:name w:val="Heading 2 Char"/>
    <w:link w:val="846"/>
    <w:uiPriority w:val="9"/>
    <w:qFormat/>
    <w:rPr>
      <w:rFonts w:ascii="Arial" w:hAnsi="Arial" w:eastAsia="Arial" w:cs="Arial"/>
      <w:sz w:val="34"/>
    </w:rPr>
  </w:style>
  <w:style w:type="character" w:styleId="881" w:customStyle="1">
    <w:name w:val="Heading 3 Char"/>
    <w:link w:val="847"/>
    <w:uiPriority w:val="9"/>
    <w:qFormat/>
    <w:rPr>
      <w:rFonts w:ascii="Arial" w:hAnsi="Arial" w:eastAsia="Arial" w:cs="Arial"/>
      <w:sz w:val="30"/>
      <w:szCs w:val="30"/>
    </w:rPr>
  </w:style>
  <w:style w:type="character" w:styleId="882" w:customStyle="1">
    <w:name w:val="Heading 4 Char"/>
    <w:link w:val="848"/>
    <w:uiPriority w:val="9"/>
    <w:qFormat/>
    <w:rPr>
      <w:rFonts w:ascii="Arial" w:hAnsi="Arial" w:eastAsia="Arial" w:cs="Arial"/>
      <w:b/>
      <w:bCs/>
      <w:sz w:val="26"/>
      <w:szCs w:val="26"/>
    </w:rPr>
  </w:style>
  <w:style w:type="character" w:styleId="883" w:customStyle="1">
    <w:name w:val="Heading 5 Char"/>
    <w:link w:val="849"/>
    <w:uiPriority w:val="9"/>
    <w:qFormat/>
    <w:rPr>
      <w:rFonts w:ascii="Arial" w:hAnsi="Arial" w:eastAsia="Arial" w:cs="Arial"/>
      <w:b/>
      <w:bCs/>
      <w:sz w:val="24"/>
      <w:szCs w:val="24"/>
    </w:rPr>
  </w:style>
  <w:style w:type="character" w:styleId="884" w:customStyle="1">
    <w:name w:val="Heading 6 Char"/>
    <w:link w:val="850"/>
    <w:uiPriority w:val="9"/>
    <w:qFormat/>
    <w:rPr>
      <w:rFonts w:ascii="Arial" w:hAnsi="Arial" w:eastAsia="Arial" w:cs="Arial"/>
      <w:b/>
      <w:bCs/>
      <w:sz w:val="22"/>
      <w:szCs w:val="22"/>
    </w:rPr>
  </w:style>
  <w:style w:type="character" w:styleId="885" w:customStyle="1">
    <w:name w:val="Heading 7 Char"/>
    <w:link w:val="851"/>
    <w:uiPriority w:val="9"/>
    <w:qFormat/>
    <w:rPr>
      <w:rFonts w:ascii="Arial" w:hAnsi="Arial" w:eastAsia="Arial" w:cs="Arial"/>
      <w:b/>
      <w:bCs/>
      <w:i/>
      <w:iCs/>
      <w:sz w:val="22"/>
      <w:szCs w:val="22"/>
    </w:rPr>
  </w:style>
  <w:style w:type="character" w:styleId="886" w:customStyle="1">
    <w:name w:val="Heading 8 Char"/>
    <w:link w:val="852"/>
    <w:uiPriority w:val="9"/>
    <w:qFormat/>
    <w:rPr>
      <w:rFonts w:ascii="Arial" w:hAnsi="Arial" w:eastAsia="Arial" w:cs="Arial"/>
      <w:i/>
      <w:iCs/>
      <w:sz w:val="22"/>
      <w:szCs w:val="22"/>
    </w:rPr>
  </w:style>
  <w:style w:type="character" w:styleId="887" w:customStyle="1">
    <w:name w:val="Heading 9 Char"/>
    <w:link w:val="853"/>
    <w:uiPriority w:val="9"/>
    <w:qFormat/>
    <w:rPr>
      <w:rFonts w:ascii="Arial" w:hAnsi="Arial" w:eastAsia="Arial" w:cs="Arial"/>
      <w:i/>
      <w:iCs/>
      <w:sz w:val="21"/>
      <w:szCs w:val="21"/>
    </w:rPr>
  </w:style>
  <w:style w:type="paragraph" w:styleId="888">
    <w:name w:val="List Paragraph"/>
    <w:basedOn w:val="844"/>
    <w:uiPriority w:val="34"/>
    <w:qFormat/>
    <w:pPr>
      <w:contextualSpacing/>
      <w:ind w:left="720"/>
    </w:pPr>
  </w:style>
  <w:style w:type="paragraph" w:styleId="889">
    <w:name w:val="No Spacing"/>
    <w:uiPriority w:val="1"/>
    <w:qFormat/>
    <w:pPr>
      <w:spacing w:before="0" w:after="0" w:line="240" w:lineRule="auto"/>
    </w:pPr>
    <w:rPr>
      <w:rFonts w:hint="default" w:ascii="Times New Roman" w:hAnsi="Times New Roman" w:eastAsia="宋体" w:cs="Times New Roman"/>
    </w:rPr>
  </w:style>
  <w:style w:type="character" w:styleId="890" w:customStyle="1">
    <w:name w:val="Title Char"/>
    <w:link w:val="873"/>
    <w:uiPriority w:val="10"/>
    <w:qFormat/>
    <w:rPr>
      <w:sz w:val="48"/>
      <w:szCs w:val="48"/>
    </w:rPr>
  </w:style>
  <w:style w:type="character" w:styleId="891" w:customStyle="1">
    <w:name w:val="Subtitle Char"/>
    <w:link w:val="867"/>
    <w:uiPriority w:val="11"/>
    <w:qFormat/>
    <w:rPr>
      <w:sz w:val="24"/>
      <w:szCs w:val="24"/>
    </w:rPr>
  </w:style>
  <w:style w:type="paragraph" w:styleId="892">
    <w:name w:val="Quote"/>
    <w:basedOn w:val="844"/>
    <w:next w:val="844"/>
    <w:link w:val="893"/>
    <w:uiPriority w:val="29"/>
    <w:qFormat/>
    <w:pPr>
      <w:ind w:left="720" w:right="720"/>
    </w:pPr>
    <w:rPr>
      <w:i/>
    </w:rPr>
  </w:style>
  <w:style w:type="character" w:styleId="893" w:customStyle="1">
    <w:name w:val="Quote Char"/>
    <w:link w:val="892"/>
    <w:uiPriority w:val="29"/>
    <w:qFormat/>
    <w:rPr>
      <w:i/>
    </w:rPr>
  </w:style>
  <w:style w:type="paragraph" w:styleId="894">
    <w:name w:val="Intense Quote"/>
    <w:basedOn w:val="844"/>
    <w:next w:val="844"/>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Intense Quote Char"/>
    <w:link w:val="894"/>
    <w:uiPriority w:val="30"/>
    <w:qFormat/>
    <w:rPr>
      <w:i/>
    </w:rPr>
  </w:style>
  <w:style w:type="character" w:styleId="896" w:customStyle="1">
    <w:name w:val="Header Char"/>
    <w:link w:val="864"/>
    <w:uiPriority w:val="99"/>
    <w:qFormat/>
  </w:style>
  <w:style w:type="character" w:styleId="897" w:customStyle="1">
    <w:name w:val="Footer Char"/>
    <w:link w:val="863"/>
    <w:uiPriority w:val="99"/>
    <w:qFormat/>
  </w:style>
  <w:style w:type="character" w:styleId="898" w:customStyle="1">
    <w:name w:val="Caption Char"/>
    <w:link w:val="863"/>
    <w:uiPriority w:val="99"/>
    <w:qFormat/>
  </w:style>
  <w:style w:type="table" w:styleId="8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Footnote Text Char"/>
    <w:link w:val="868"/>
    <w:uiPriority w:val="99"/>
    <w:qFormat/>
    <w:rPr>
      <w:sz w:val="18"/>
    </w:rPr>
  </w:style>
  <w:style w:type="character" w:styleId="1025" w:customStyle="1">
    <w:name w:val="Endnote Text Char"/>
    <w:link w:val="862"/>
    <w:uiPriority w:val="99"/>
    <w:qFormat/>
    <w:rPr>
      <w:sz w:val="20"/>
    </w:rPr>
  </w:style>
  <w:style w:type="paragraph" w:styleId="1026" w:customStyle="1">
    <w:name w:val="TOC Heading"/>
    <w:uiPriority w:val="39"/>
    <w:unhideWhenUsed/>
    <w:qFormat/>
    <w:rPr>
      <w:rFonts w:hint="default" w:ascii="Times New Roman" w:hAnsi="Times New Roman" w:eastAsia="宋体" w:cs="Times New Roman"/>
    </w:rPr>
  </w:style>
  <w:style w:type="paragraph" w:styleId="1027" w:customStyle="1">
    <w:name w:val="标题 11"/>
    <w:basedOn w:val="844"/>
    <w:next w:val="844"/>
    <w:link w:val="1034"/>
    <w:uiPriority w:val="99"/>
    <w:qFormat/>
    <w:pPr>
      <w:keepLines/>
      <w:keepNext/>
      <w:spacing w:before="340" w:after="330" w:line="578" w:lineRule="auto"/>
      <w:outlineLvl w:val="0"/>
    </w:pPr>
    <w:rPr>
      <w:rFonts w:ascii="Calibri" w:hAnsi="Calibri"/>
      <w:b/>
      <w:bCs/>
      <w:sz w:val="44"/>
      <w:szCs w:val="44"/>
    </w:rPr>
  </w:style>
  <w:style w:type="paragraph" w:styleId="1028" w:customStyle="1">
    <w:name w:val="标题 21"/>
    <w:basedOn w:val="844"/>
    <w:next w:val="1029"/>
    <w:link w:val="1035"/>
    <w:uiPriority w:val="9"/>
    <w:qFormat/>
    <w:pPr>
      <w:keepLines/>
      <w:keepNext/>
      <w:spacing w:before="260" w:after="260" w:line="416" w:lineRule="auto"/>
      <w:outlineLvl w:val="1"/>
    </w:pPr>
    <w:rPr>
      <w:rFonts w:ascii="Cambria" w:hAnsi="Cambria"/>
      <w:b/>
      <w:bCs/>
      <w:sz w:val="32"/>
      <w:szCs w:val="32"/>
    </w:rPr>
  </w:style>
  <w:style w:type="paragraph" w:styleId="1029" w:customStyle="1">
    <w:name w:val="正文缩进1"/>
    <w:basedOn w:val="844"/>
    <w:uiPriority w:val="0"/>
    <w:unhideWhenUsed/>
    <w:qFormat/>
    <w:pPr>
      <w:ind w:firstLine="420"/>
    </w:pPr>
    <w:rPr>
      <w:rFonts w:ascii="Calibri" w:hAnsi="Calibri" w:eastAsia="宋体" w:cs="Times New Roman"/>
    </w:rPr>
  </w:style>
  <w:style w:type="paragraph" w:styleId="1030" w:customStyle="1">
    <w:name w:val="标题 31"/>
    <w:basedOn w:val="844"/>
    <w:next w:val="844"/>
    <w:link w:val="1036"/>
    <w:uiPriority w:val="0"/>
    <w:qFormat/>
    <w:pPr>
      <w:keepLines/>
      <w:keepNext/>
      <w:spacing w:before="260" w:after="260" w:line="416" w:lineRule="auto"/>
      <w:outlineLvl w:val="2"/>
    </w:pPr>
    <w:rPr>
      <w:rFonts w:ascii="Calibri" w:hAnsi="Calibri"/>
      <w:b/>
      <w:bCs/>
      <w:sz w:val="32"/>
      <w:szCs w:val="32"/>
    </w:rPr>
  </w:style>
  <w:style w:type="paragraph" w:styleId="1031" w:customStyle="1">
    <w:name w:val="标题 41"/>
    <w:basedOn w:val="844"/>
    <w:next w:val="844"/>
    <w:link w:val="1037"/>
    <w:uiPriority w:val="0"/>
    <w:qFormat/>
    <w:pPr>
      <w:spacing w:before="280" w:after="290" w:line="377" w:lineRule="auto"/>
      <w:outlineLvl w:val="3"/>
    </w:pPr>
    <w:rPr>
      <w:rFonts w:ascii="Arial" w:hAnsi="Arial" w:eastAsia="黑体"/>
      <w:b/>
      <w:bCs/>
      <w:sz w:val="28"/>
      <w:szCs w:val="28"/>
    </w:rPr>
  </w:style>
  <w:style w:type="character" w:styleId="1032" w:customStyle="1">
    <w:name w:val="默认段落字体1"/>
    <w:link w:val="844"/>
    <w:uiPriority w:val="1"/>
    <w:unhideWhenUsed/>
    <w:qFormat/>
  </w:style>
  <w:style w:type="table" w:styleId="1033"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34" w:customStyle="1">
    <w:name w:val="标题 1 Char"/>
    <w:link w:val="1027"/>
    <w:uiPriority w:val="99"/>
    <w:qFormat/>
    <w:rPr>
      <w:rFonts w:ascii="Calibri" w:hAnsi="Calibri" w:eastAsia="宋体" w:cs="Times New Roman"/>
      <w:b/>
      <w:bCs/>
      <w:sz w:val="44"/>
      <w:szCs w:val="44"/>
    </w:rPr>
  </w:style>
  <w:style w:type="character" w:styleId="1035" w:customStyle="1">
    <w:name w:val="标题 2 Char"/>
    <w:link w:val="1028"/>
    <w:uiPriority w:val="9"/>
    <w:qFormat/>
    <w:rPr>
      <w:rFonts w:ascii="Cambria" w:hAnsi="Cambria" w:eastAsia="宋体" w:cs="Times New Roman"/>
      <w:b/>
      <w:bCs/>
      <w:sz w:val="32"/>
      <w:szCs w:val="32"/>
    </w:rPr>
  </w:style>
  <w:style w:type="character" w:styleId="1036" w:customStyle="1">
    <w:name w:val="标题 3 Char"/>
    <w:link w:val="1030"/>
    <w:uiPriority w:val="0"/>
    <w:qFormat/>
    <w:rPr>
      <w:rFonts w:ascii="Calibri" w:hAnsi="Calibri" w:eastAsia="宋体" w:cs="Times New Roman"/>
      <w:b/>
      <w:bCs/>
      <w:sz w:val="32"/>
      <w:szCs w:val="32"/>
    </w:rPr>
  </w:style>
  <w:style w:type="character" w:styleId="1037" w:customStyle="1">
    <w:name w:val="标题 4 Char"/>
    <w:link w:val="1031"/>
    <w:uiPriority w:val="0"/>
    <w:qFormat/>
    <w:rPr>
      <w:rFonts w:ascii="Arial" w:hAnsi="Arial" w:eastAsia="黑体" w:cs="Times New Roman"/>
      <w:b/>
      <w:bCs/>
      <w:sz w:val="28"/>
      <w:szCs w:val="28"/>
    </w:rPr>
  </w:style>
  <w:style w:type="paragraph" w:styleId="1038" w:customStyle="1">
    <w:name w:val="文档结构图1"/>
    <w:basedOn w:val="844"/>
    <w:link w:val="1039"/>
    <w:uiPriority w:val="99"/>
    <w:unhideWhenUsed/>
    <w:qFormat/>
    <w:rPr>
      <w:rFonts w:ascii="宋体"/>
      <w:sz w:val="18"/>
      <w:szCs w:val="18"/>
    </w:rPr>
  </w:style>
  <w:style w:type="character" w:styleId="1039" w:customStyle="1">
    <w:name w:val="文档结构图 Char"/>
    <w:link w:val="1038"/>
    <w:uiPriority w:val="99"/>
    <w:semiHidden/>
    <w:qFormat/>
    <w:rPr>
      <w:rFonts w:ascii="宋体"/>
      <w:sz w:val="18"/>
      <w:szCs w:val="18"/>
    </w:rPr>
  </w:style>
  <w:style w:type="paragraph" w:styleId="1040" w:customStyle="1">
    <w:name w:val="正文文本11"/>
    <w:basedOn w:val="844"/>
    <w:uiPriority w:val="0"/>
    <w:qFormat/>
    <w:rPr>
      <w:rFonts w:ascii="楷体_GB2312" w:hAnsi="Arial" w:eastAsia="楷体_GB2312"/>
      <w:sz w:val="28"/>
      <w:szCs w:val="28"/>
    </w:rPr>
  </w:style>
  <w:style w:type="paragraph" w:styleId="1041" w:customStyle="1">
    <w:name w:val="正文文本缩进1"/>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1042" w:customStyle="1">
    <w:name w:val="文本块11"/>
    <w:basedOn w:val="844"/>
    <w:uiPriority w:val="99"/>
    <w:unhideWhenUsed/>
    <w:qFormat/>
    <w:pPr>
      <w:ind w:left="567" w:right="454" w:firstLine="498"/>
      <w:jc w:val="left"/>
    </w:pPr>
    <w:rPr>
      <w:rFonts w:ascii="仿宋_GB2312" w:eastAsia="仿宋_GB2312"/>
      <w:sz w:val="30"/>
      <w:szCs w:val="20"/>
    </w:rPr>
  </w:style>
  <w:style w:type="paragraph" w:styleId="1043" w:customStyle="1">
    <w:name w:val="索引 41"/>
    <w:next w:val="844"/>
    <w:uiPriority w:val="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rFonts w:hint="default" w:ascii="Times New Roman" w:hAnsi="Times New Roman" w:eastAsia="宋体" w:cs="Times New Roman"/>
      <w:sz w:val="24"/>
      <w:szCs w:val="20"/>
      <w:lang w:val="en-US" w:eastAsia="zh-CN" w:bidi="ar-SA"/>
    </w:rPr>
  </w:style>
  <w:style w:type="paragraph" w:styleId="1044" w:customStyle="1">
    <w:name w:val="目录 31"/>
    <w:basedOn w:val="844"/>
    <w:next w:val="844"/>
    <w:uiPriority w:val="39"/>
    <w:unhideWhenUsed/>
    <w:qFormat/>
    <w:pPr>
      <w:ind w:left="840"/>
    </w:pPr>
  </w:style>
  <w:style w:type="paragraph" w:styleId="1045" w:customStyle="1">
    <w:name w:val="纯文本11"/>
    <w:basedOn w:val="844"/>
    <w:link w:val="1046"/>
    <w:uiPriority w:val="99"/>
    <w:unhideWhenUsed/>
    <w:qFormat/>
    <w:rPr>
      <w:rFonts w:ascii="宋体" w:hAnsi="Courier New"/>
      <w:sz w:val="20"/>
      <w:szCs w:val="20"/>
    </w:rPr>
  </w:style>
  <w:style w:type="character" w:styleId="1046" w:customStyle="1">
    <w:name w:val="纯文本 Char"/>
    <w:link w:val="1045"/>
    <w:uiPriority w:val="99"/>
    <w:qFormat/>
    <w:rPr>
      <w:rFonts w:ascii="宋体" w:hAnsi="Courier New"/>
    </w:rPr>
  </w:style>
  <w:style w:type="paragraph" w:styleId="1047" w:customStyle="1">
    <w:name w:val="日期1"/>
    <w:basedOn w:val="844"/>
    <w:next w:val="844"/>
    <w:link w:val="1048"/>
    <w:uiPriority w:val="0"/>
    <w:qFormat/>
    <w:rPr>
      <w:sz w:val="24"/>
      <w:szCs w:val="20"/>
    </w:rPr>
  </w:style>
  <w:style w:type="character" w:styleId="1048" w:customStyle="1">
    <w:name w:val="日期 Char"/>
    <w:link w:val="1047"/>
    <w:uiPriority w:val="0"/>
    <w:qFormat/>
    <w:rPr>
      <w:rFonts w:ascii="Times New Roman" w:hAnsi="Times New Roman"/>
      <w:sz w:val="24"/>
    </w:rPr>
  </w:style>
  <w:style w:type="paragraph" w:styleId="1049" w:customStyle="1">
    <w:name w:val="正文文本缩进 21"/>
    <w:basedOn w:val="844"/>
    <w:uiPriority w:val="99"/>
    <w:unhideWhenUsed/>
    <w:qFormat/>
    <w:pPr>
      <w:ind w:firstLine="562"/>
      <w:spacing w:line="480" w:lineRule="exact"/>
    </w:pPr>
    <w:rPr>
      <w:b/>
      <w:bCs/>
      <w:sz w:val="28"/>
      <w:szCs w:val="28"/>
    </w:rPr>
  </w:style>
  <w:style w:type="paragraph" w:styleId="1050" w:customStyle="1">
    <w:name w:val="页脚11"/>
    <w:basedOn w:val="844"/>
    <w:link w:val="1051"/>
    <w:uiPriority w:val="99"/>
    <w:unhideWhenUsed/>
    <w:qFormat/>
    <w:pPr>
      <w:jc w:val="left"/>
      <w:tabs>
        <w:tab w:val="center" w:pos="4153" w:leader="none"/>
        <w:tab w:val="right" w:pos="8306" w:leader="none"/>
      </w:tabs>
    </w:pPr>
    <w:rPr>
      <w:sz w:val="18"/>
      <w:szCs w:val="18"/>
    </w:rPr>
  </w:style>
  <w:style w:type="character" w:styleId="1051" w:customStyle="1">
    <w:name w:val="页脚 Char"/>
    <w:link w:val="1050"/>
    <w:uiPriority w:val="99"/>
    <w:qFormat/>
    <w:rPr>
      <w:sz w:val="18"/>
      <w:szCs w:val="18"/>
    </w:rPr>
  </w:style>
  <w:style w:type="paragraph" w:styleId="1052" w:customStyle="1">
    <w:name w:val="页眉11"/>
    <w:basedOn w:val="844"/>
    <w:link w:val="105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3" w:customStyle="1">
    <w:name w:val="页眉 Char"/>
    <w:link w:val="1052"/>
    <w:uiPriority w:val="99"/>
    <w:qFormat/>
    <w:rPr>
      <w:sz w:val="18"/>
      <w:szCs w:val="18"/>
    </w:rPr>
  </w:style>
  <w:style w:type="paragraph" w:styleId="1054" w:customStyle="1">
    <w:name w:val="目录 11"/>
    <w:basedOn w:val="844"/>
    <w:next w:val="844"/>
    <w:uiPriority w:val="39"/>
    <w:unhideWhenUsed/>
    <w:qFormat/>
    <w:rPr>
      <w:rFonts w:ascii="Calibri" w:hAnsi="Calibri" w:eastAsia="宋体" w:cs="Times New Roman"/>
    </w:rPr>
  </w:style>
  <w:style w:type="paragraph" w:styleId="1055" w:customStyle="1">
    <w:name w:val="目录 21"/>
    <w:basedOn w:val="844"/>
    <w:next w:val="844"/>
    <w:uiPriority w:val="39"/>
    <w:unhideWhenUsed/>
    <w:qFormat/>
    <w:pPr>
      <w:ind w:left="420"/>
    </w:pPr>
  </w:style>
  <w:style w:type="paragraph" w:styleId="1056" w:customStyle="1">
    <w:name w:val="普通(网站)1"/>
    <w:basedOn w:val="844"/>
    <w:uiPriority w:val="0"/>
    <w:unhideWhenUsed/>
    <w:qFormat/>
    <w:pPr>
      <w:jc w:val="left"/>
    </w:pPr>
    <w:rPr>
      <w:rFonts w:ascii="Calibri" w:hAnsi="Calibri" w:eastAsia="宋体" w:cs="Times New Roman"/>
      <w:sz w:val="24"/>
      <w:szCs w:val="24"/>
    </w:rPr>
  </w:style>
  <w:style w:type="character" w:styleId="1057" w:customStyle="1">
    <w:name w:val="要点1"/>
    <w:link w:val="844"/>
    <w:uiPriority w:val="0"/>
    <w:qFormat/>
    <w:rPr>
      <w:b/>
    </w:rPr>
  </w:style>
  <w:style w:type="character" w:styleId="1058" w:customStyle="1">
    <w:name w:val="超链接1"/>
    <w:basedOn w:val="1032"/>
    <w:link w:val="844"/>
    <w:uiPriority w:val="99"/>
    <w:unhideWhenUsed/>
    <w:qFormat/>
    <w:rPr>
      <w:color w:val="0000ff"/>
      <w:u w:val="single"/>
    </w:rPr>
  </w:style>
  <w:style w:type="paragraph" w:styleId="1059" w:customStyle="1">
    <w:name w:val="正文（缩进）"/>
    <w:basedOn w:val="844"/>
    <w:uiPriority w:val="0"/>
    <w:qFormat/>
    <w:pPr>
      <w:ind w:firstLine="480"/>
    </w:pPr>
    <w:rPr>
      <w:rFonts w:ascii="Calibri" w:hAnsi="Calibri" w:eastAsia="宋体" w:cs="Times New Roman"/>
      <w:szCs w:val="24"/>
    </w:rPr>
  </w:style>
  <w:style w:type="paragraph" w:styleId="1060" w:customStyle="1">
    <w:name w:val="正文1"/>
    <w:basedOn w:val="844"/>
    <w:next w:val="1061"/>
    <w:uiPriority w:val="0"/>
    <w:qFormat/>
    <w:pPr>
      <w:jc w:val="left"/>
      <w:spacing w:line="360" w:lineRule="atLeast"/>
    </w:pPr>
    <w:rPr>
      <w:rFonts w:ascii="宋体" w:hAnsi="Calibri" w:eastAsia="宋体" w:cs="Times New Roman"/>
      <w:sz w:val="24"/>
      <w:szCs w:val="20"/>
    </w:rPr>
  </w:style>
  <w:style w:type="paragraph" w:styleId="1061" w:customStyle="1">
    <w:name w:val="正文文本1"/>
    <w:basedOn w:val="1060"/>
    <w:next w:val="1062"/>
    <w:uiPriority w:val="0"/>
    <w:qFormat/>
    <w:pPr>
      <w:spacing w:after="120"/>
    </w:pPr>
    <w:rPr>
      <w:lang w:val="en-US" w:eastAsia="en-US"/>
    </w:rPr>
  </w:style>
  <w:style w:type="paragraph" w:styleId="1062" w:customStyle="1">
    <w:name w:val="一级条标题"/>
    <w:basedOn w:val="1063"/>
    <w:next w:val="10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3" w:customStyle="1">
    <w:name w:val="章标题"/>
    <w:next w:val="8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64" w:customStyle="1">
    <w:name w:val="段"/>
    <w:basedOn w:val="1060"/>
    <w:next w:val="844"/>
    <w:uiPriority w:val="0"/>
    <w:qFormat/>
    <w:pPr>
      <w:ind w:firstLine="200"/>
      <w:widowControl/>
    </w:pPr>
    <w:rPr>
      <w:rFonts w:ascii="宋体"/>
      <w:sz w:val="20"/>
      <w:szCs w:val="20"/>
    </w:rPr>
  </w:style>
  <w:style w:type="character" w:styleId="1065" w:customStyle="1">
    <w:name w:val="htd0"/>
    <w:link w:val="844"/>
    <w:uiPriority w:val="0"/>
    <w:qFormat/>
  </w:style>
  <w:style w:type="character" w:styleId="1066" w:customStyle="1">
    <w:name w:val="页脚 Char1"/>
    <w:link w:val="844"/>
    <w:uiPriority w:val="99"/>
    <w:semiHidden/>
    <w:qFormat/>
    <w:rPr>
      <w:sz w:val="18"/>
      <w:szCs w:val="18"/>
    </w:rPr>
  </w:style>
  <w:style w:type="character" w:styleId="1067" w:customStyle="1">
    <w:name w:val="纯文本 Char1"/>
    <w:link w:val="844"/>
    <w:uiPriority w:val="99"/>
    <w:semiHidden/>
    <w:qFormat/>
    <w:rPr>
      <w:rFonts w:ascii="宋体" w:hAnsi="Courier New" w:eastAsia="宋体" w:cs="Courier New"/>
      <w:szCs w:val="21"/>
    </w:rPr>
  </w:style>
  <w:style w:type="character" w:styleId="1068" w:customStyle="1">
    <w:name w:val="批注引用1"/>
    <w:link w:val="1069"/>
    <w:uiPriority w:val="0"/>
    <w:qFormat/>
    <w:rPr>
      <w:rFonts w:ascii="Calibri" w:hAnsi="Calibri"/>
      <w:sz w:val="21"/>
      <w:szCs w:val="24"/>
      <w:lang w:val="en-US" w:eastAsia="zh-CN" w:bidi="ar-SA"/>
    </w:rPr>
  </w:style>
  <w:style w:type="paragraph" w:styleId="1069" w:customStyle="1">
    <w:name w:val="正文111"/>
    <w:next w:val="1070"/>
    <w:link w:val="1068"/>
    <w:uiPriority w:val="0"/>
    <w:qFormat/>
    <w:pPr>
      <w:jc w:val="both"/>
      <w:widowControl w:val="off"/>
    </w:pPr>
    <w:rPr>
      <w:rFonts w:hint="default" w:ascii="Calibri" w:hAnsi="Calibri" w:eastAsia="宋体" w:cs="Times New Roman"/>
      <w:sz w:val="21"/>
      <w:szCs w:val="24"/>
      <w:lang w:val="en-US" w:eastAsia="zh-CN" w:bidi="ar-SA"/>
    </w:rPr>
  </w:style>
  <w:style w:type="paragraph" w:styleId="1070" w:customStyle="1">
    <w:name w:val="文本块1"/>
    <w:basedOn w:val="1069"/>
    <w:uiPriority w:val="0"/>
    <w:qFormat/>
    <w:pPr>
      <w:ind w:left="567" w:right="454" w:firstLine="498"/>
      <w:jc w:val="left"/>
      <w:widowControl/>
    </w:pPr>
    <w:rPr>
      <w:rFonts w:ascii="仿宋_GB2312" w:eastAsia="仿宋_GB2312"/>
      <w:sz w:val="30"/>
      <w:szCs w:val="20"/>
    </w:rPr>
  </w:style>
  <w:style w:type="character" w:styleId="1071" w:customStyle="1">
    <w:name w:val="页眉 Char1"/>
    <w:link w:val="844"/>
    <w:uiPriority w:val="99"/>
    <w:semiHidden/>
    <w:qFormat/>
    <w:rPr>
      <w:sz w:val="18"/>
      <w:szCs w:val="18"/>
    </w:rPr>
  </w:style>
  <w:style w:type="character" w:styleId="1072" w:customStyle="1">
    <w:name w:val="日期 Char1"/>
    <w:link w:val="844"/>
    <w:uiPriority w:val="99"/>
    <w:semiHidden/>
    <w:qFormat/>
  </w:style>
  <w:style w:type="paragraph" w:styleId="1073" w:customStyle="1">
    <w:name w:val="纯文本1"/>
    <w:basedOn w:val="1069"/>
    <w:uiPriority w:val="0"/>
    <w:qFormat/>
    <w:rPr>
      <w:rFonts w:ascii="宋体" w:hAnsi="Courier New"/>
      <w:sz w:val="21"/>
      <w:szCs w:val="21"/>
    </w:rPr>
  </w:style>
  <w:style w:type="paragraph" w:styleId="1074" w:customStyle="1">
    <w:name w:val="页眉1"/>
    <w:basedOn w:val="1069"/>
    <w:uiPriority w:val="0"/>
    <w:qFormat/>
    <w:pPr>
      <w:jc w:val="center"/>
      <w:tabs>
        <w:tab w:val="center" w:pos="4153" w:leader="none"/>
        <w:tab w:val="right" w:pos="8306" w:leader="none"/>
      </w:tabs>
      <w:pBdr>
        <w:bottom w:val="single" w:color="000000" w:sz="6" w:space="1"/>
      </w:pBdr>
    </w:pPr>
    <w:rPr>
      <w:sz w:val="18"/>
      <w:szCs w:val="18"/>
    </w:rPr>
  </w:style>
  <w:style w:type="paragraph" w:styleId="1075" w:customStyle="1">
    <w:name w:val="普通正文"/>
    <w:basedOn w:val="844"/>
    <w:uiPriority w:val="0"/>
    <w:qFormat/>
    <w:pPr>
      <w:ind w:firstLine="480"/>
      <w:jc w:val="left"/>
      <w:spacing w:before="120" w:after="120" w:line="360" w:lineRule="auto"/>
    </w:pPr>
    <w:rPr>
      <w:rFonts w:ascii="Arial" w:hAnsi="Arial" w:eastAsia="宋体" w:cs="Times New Roman"/>
      <w:sz w:val="24"/>
      <w:szCs w:val="24"/>
    </w:rPr>
  </w:style>
  <w:style w:type="paragraph" w:styleId="1076" w:customStyle="1">
    <w:name w:val="默认段落字体 Para Char Char Char Char Char Char Char"/>
    <w:basedOn w:val="844"/>
    <w:next w:val="844"/>
    <w:uiPriority w:val="99"/>
    <w:qFormat/>
    <w:pPr>
      <w:ind w:firstLine="200"/>
    </w:pPr>
    <w:rPr>
      <w:rFonts w:ascii="Calibri" w:hAnsi="Calibri" w:eastAsia="宋体" w:cs="Arial"/>
      <w:szCs w:val="24"/>
    </w:rPr>
  </w:style>
  <w:style w:type="paragraph" w:styleId="1077"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078" w:customStyle="1">
    <w:name w:val="Char"/>
    <w:basedOn w:val="844"/>
    <w:uiPriority w:val="0"/>
    <w:qFormat/>
    <w:pPr>
      <w:ind w:firstLine="200"/>
      <w:tabs>
        <w:tab w:val="left" w:pos="360" w:leader="none"/>
      </w:tabs>
    </w:pPr>
    <w:rPr>
      <w:rFonts w:ascii="Times New Roman" w:hAnsi="Times New Roman" w:eastAsia="宋体" w:cs="Times New Roman"/>
      <w:sz w:val="28"/>
      <w:szCs w:val="30"/>
    </w:rPr>
  </w:style>
  <w:style w:type="paragraph" w:styleId="107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2" w:customStyle="1">
    <w:name w:val="页脚1"/>
    <w:basedOn w:val="1069"/>
    <w:uiPriority w:val="0"/>
    <w:qFormat/>
    <w:pPr>
      <w:jc w:val="left"/>
      <w:tabs>
        <w:tab w:val="center" w:pos="4153" w:leader="none"/>
        <w:tab w:val="right" w:pos="8306" w:leader="none"/>
      </w:tabs>
    </w:pPr>
    <w:rPr>
      <w:sz w:val="18"/>
      <w:szCs w:val="18"/>
    </w:rPr>
  </w:style>
  <w:style w:type="paragraph" w:styleId="1083" w:customStyle="1">
    <w:name w:val="_Style 4"/>
    <w:next w:val="844"/>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1084" w:customStyle="1">
    <w:name w:val="正文_2"/>
    <w:uiPriority w:val="0"/>
    <w:qFormat/>
    <w:rPr>
      <w:rFonts w:hint="default" w:ascii="Times New Roman" w:hAnsi="Times New Roman" w:eastAsia="宋体" w:cs="Times New Roman"/>
      <w:lang w:val="en-US" w:eastAsia="zh-CN" w:bidi="ar-SA"/>
    </w:rPr>
  </w:style>
  <w:style w:type="paragraph" w:styleId="1085" w:customStyle="1">
    <w:name w:val="WPSOffice手动目录 1"/>
    <w:uiPriority w:val="0"/>
    <w:qFormat/>
    <w:rPr>
      <w:rFonts w:hint="default" w:ascii="Times New Roman" w:hAnsi="Times New Roman" w:eastAsia="宋体" w:cs="Times New Roman"/>
      <w:lang w:val="en-US" w:eastAsia="zh-CN" w:bidi="ar-SA"/>
    </w:rPr>
  </w:style>
  <w:style w:type="character" w:styleId="1086" w:customStyle="1">
    <w:name w:val="15"/>
    <w:basedOn w:val="1032"/>
    <w:link w:val="844"/>
    <w:uiPriority w:val="0"/>
    <w:qFormat/>
    <w:rPr>
      <w:rFonts w:ascii="Times New Roman" w:hAnsi="Times New Roman" w:cs="Times New Roman"/>
      <w:color w:val="0000ff"/>
      <w:u w:val="single"/>
    </w:rPr>
  </w:style>
  <w:style w:type="character" w:styleId="1087" w:customStyle="1">
    <w:name w:val="font121"/>
    <w:basedOn w:val="854"/>
    <w:uiPriority w:val="0"/>
    <w:qFormat/>
    <w:rPr>
      <w:rFonts w:ascii="宋体" w:hAnsi="宋体" w:eastAsia="宋体" w:cs="宋体"/>
      <w:b/>
      <w:bCs/>
      <w:color w:val="000000"/>
      <w:sz w:val="18"/>
      <w:szCs w:val="18"/>
      <w:u w:val="none"/>
    </w:rPr>
  </w:style>
  <w:style w:type="character" w:styleId="1088" w:customStyle="1">
    <w:name w:val="font131"/>
    <w:basedOn w:val="854"/>
    <w:uiPriority w:val="0"/>
    <w:qFormat/>
    <w:rPr>
      <w:rFonts w:ascii="宋体" w:hAnsi="宋体" w:eastAsia="宋体" w:cs="宋体"/>
      <w:color w:val="000000"/>
      <w:sz w:val="18"/>
      <w:szCs w:val="18"/>
      <w:u w:val="none"/>
    </w:rPr>
  </w:style>
  <w:style w:type="character" w:styleId="1089" w:customStyle="1">
    <w:name w:val="font41"/>
    <w:basedOn w:val="854"/>
    <w:uiPriority w:val="0"/>
    <w:qFormat/>
    <w:rPr>
      <w:rFonts w:ascii="宋体" w:hAnsi="宋体" w:eastAsia="宋体" w:cs="宋体"/>
      <w:color w:val="000000"/>
      <w:sz w:val="18"/>
      <w:szCs w:val="18"/>
      <w:u w:val="none"/>
    </w:rPr>
  </w:style>
  <w:style w:type="character" w:styleId="1090" w:customStyle="1">
    <w:name w:val="font51"/>
    <w:basedOn w:val="854"/>
    <w:uiPriority w:val="0"/>
    <w:qFormat/>
    <w:rPr>
      <w:rFonts w:ascii="宋体" w:hAnsi="宋体" w:eastAsia="宋体" w:cs="宋体"/>
      <w:color w:val="000000"/>
      <w:sz w:val="16"/>
      <w:szCs w:val="16"/>
      <w:u w:val="none"/>
    </w:rPr>
  </w:style>
  <w:style w:type="character" w:styleId="1091" w:customStyle="1">
    <w:name w:val="font141"/>
    <w:basedOn w:val="854"/>
    <w:uiPriority w:val="0"/>
    <w:qFormat/>
    <w:rPr>
      <w:rFonts w:hint="default" w:ascii="Arial" w:hAnsi="Arial" w:cs="Arial"/>
      <w:color w:val="000000"/>
      <w:sz w:val="16"/>
      <w:szCs w:val="16"/>
      <w:u w:val="none"/>
    </w:rPr>
  </w:style>
  <w:style w:type="character" w:styleId="1092" w:customStyle="1">
    <w:name w:val="font91"/>
    <w:basedOn w:val="854"/>
    <w:uiPriority w:val="0"/>
    <w:qFormat/>
    <w:rPr>
      <w:rFonts w:hint="eastAsia" w:ascii="宋体" w:hAnsi="宋体" w:eastAsia="宋体" w:cs="宋体"/>
      <w:color w:val="000000"/>
      <w:sz w:val="16"/>
      <w:szCs w:val="16"/>
      <w:u w:val="none"/>
    </w:rPr>
  </w:style>
  <w:style w:type="character" w:styleId="1093" w:customStyle="1">
    <w:name w:val="font71"/>
    <w:basedOn w:val="854"/>
    <w:uiPriority w:val="0"/>
    <w:qFormat/>
    <w:rPr>
      <w:rFonts w:hint="default" w:ascii="Arial" w:hAnsi="Arial" w:cs="Arial"/>
      <w:color w:val="000000"/>
      <w:sz w:val="16"/>
      <w:szCs w:val="16"/>
      <w:u w:val="none"/>
    </w:rPr>
  </w:style>
  <w:style w:type="character" w:styleId="1094" w:customStyle="1">
    <w:name w:val="font11"/>
    <w:basedOn w:val="854"/>
    <w:uiPriority w:val="0"/>
    <w:qFormat/>
    <w:rPr>
      <w:rFonts w:ascii="宋体" w:hAnsi="宋体" w:eastAsia="宋体" w:cs="宋体"/>
      <w:b/>
      <w:bCs/>
      <w:color w:val="000000"/>
      <w:sz w:val="18"/>
      <w:szCs w:val="18"/>
      <w:u w:val="none"/>
    </w:rPr>
  </w:style>
  <w:style w:type="character" w:styleId="1095" w:customStyle="1">
    <w:name w:val="font151"/>
    <w:basedOn w:val="854"/>
    <w:uiPriority w:val="0"/>
    <w:qFormat/>
    <w:rPr>
      <w:rFonts w:ascii="宋体" w:hAnsi="宋体" w:eastAsia="宋体" w:cs="宋体"/>
      <w:b/>
      <w:bCs/>
      <w:color w:val="000000"/>
      <w:sz w:val="14"/>
      <w:szCs w:val="14"/>
      <w:u w:val="none"/>
    </w:rPr>
  </w:style>
  <w:style w:type="paragraph" w:styleId="1096" w:customStyle="1">
    <w:name w:val="Table Paragraph"/>
    <w:basedOn w:val="844"/>
    <w:uiPriority w:val="0"/>
    <w:qFormat/>
    <w:pPr>
      <w:jc w:val="left"/>
    </w:pPr>
    <w:rPr>
      <w:rFonts w:ascii="Arial Unicode MS" w:hAnsi="Arial Unicode MS" w:eastAsia="Arial Unicode MS" w:cs="Arial Unicode MS"/>
      <w:sz w:val="22"/>
      <w:szCs w:val="22"/>
      <w:lang w:val="zh-CN" w:bidi="zh-CN"/>
    </w:rPr>
  </w:style>
  <w:style w:type="character" w:styleId="1097" w:customStyle="1">
    <w:name w:val="NormalCharacter1"/>
    <w:link w:val="844"/>
    <w:uiPriority w:val="0"/>
    <w:qFormat/>
    <w:rPr>
      <w:rFonts w:ascii="Calibri" w:hAnsi="Calibri" w:eastAsia="宋体" w:cs="Times New Roman"/>
      <w:sz w:val="21"/>
      <w:szCs w:val="22"/>
      <w:lang w:val="en-US" w:eastAsia="zh-CN" w:bidi="ar-SA"/>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橡皮人 </dc:creator>
  <cp:lastModifiedBy>郭静</cp:lastModifiedBy>
  <cp:revision>10</cp:revision>
  <dcterms:created xsi:type="dcterms:W3CDTF">2023-09-25T09:07:00Z</dcterms:created>
  <dcterms:modified xsi:type="dcterms:W3CDTF">2025-12-31T02:55:42Z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eyJoZGlkIjoiNjVlYjJhODI3Nzk5OTU0OTZiOWVmZTI1NGJlOTEwZjEiLCJ1c2VySWQiOiI3OTg5NjIzODYifQ==</vt:lpwstr>
  </property>
  <property fmtid="{D5CDD505-2E9C-101B-9397-08002B2CF9AE}" pid="3" name="KSOProductBuildVer">
    <vt:lpwstr>2052-12.1.0.24034</vt:lpwstr>
  </property>
  <property fmtid="{D5CDD505-2E9C-101B-9397-08002B2CF9AE}" pid="4" name="ICV">
    <vt:lpwstr>D4B3662CBFC94FA5972F5A4245366245_13</vt:lpwstr>
  </property>
</Properties>
</file>